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克孜勒苏柯尔克孜自治州行政服务中心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宋体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 w:eastAsia="仿宋_GB2312"/>
          <w:b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宋体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黑体" w:hAnsi="黑体" w:eastAsia="黑体"/>
          <w:kern w:val="0"/>
          <w:sz w:val="32"/>
          <w:szCs w:val="32"/>
        </w:rPr>
        <w:t>部门单位概况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一是负责组织具有行政审批事项的单位入驻克州行政服务中心；负责确定行政服务中心入驻单位行政审批事项。</w:t>
      </w:r>
    </w:p>
    <w:p>
      <w:pPr>
        <w:widowControl/>
        <w:spacing w:line="560" w:lineRule="exact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二是负责具体开展行政审批的综合协调、监督管理。</w:t>
      </w:r>
    </w:p>
    <w:p>
      <w:pPr>
        <w:widowControl/>
        <w:spacing w:line="560" w:lineRule="exact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三是负责入驻克州行政服务中心各单位人员的管理、培训、考核工作；负责解决行政审批相关工作问题。</w:t>
      </w:r>
    </w:p>
    <w:p>
      <w:pPr>
        <w:widowControl/>
        <w:spacing w:line="560" w:lineRule="exact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四是负责行政审批服务综合工作；负责行政审批工作信息的收集、汇总、编报工作；负责组织行政审批服务相关工作专题调研，提出有针对性、操作性强的工作方案。</w:t>
      </w:r>
    </w:p>
    <w:p>
      <w:pPr>
        <w:widowControl/>
        <w:spacing w:line="560" w:lineRule="exact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五是负责行政审批工作技术平台搭建、管理、维护、升级；负责各项行政审批服务工作档案管理。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六是承办克州人民政府依法行政有关事项。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克州行政服务中心无下属预算单位，下设 4个处室，分别是：综合管理科、技术保障科、效能督查科、网上行政审批科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克州行政服务中心编制数12，实有人数1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人，其中：在职10人，增加或减少 0人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；退休0人，增加或减少 0人；离休 0人，增加或减少 0人。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145.82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145.82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145.82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本年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入小计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145.82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本年支出小计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145.82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145.82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145.82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8912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336"/>
        <w:gridCol w:w="340"/>
        <w:gridCol w:w="1077"/>
        <w:gridCol w:w="663"/>
        <w:gridCol w:w="550"/>
        <w:gridCol w:w="550"/>
        <w:gridCol w:w="550"/>
        <w:gridCol w:w="550"/>
        <w:gridCol w:w="449"/>
        <w:gridCol w:w="621"/>
        <w:gridCol w:w="574"/>
        <w:gridCol w:w="336"/>
        <w:gridCol w:w="844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45"/>
                <w:tab w:val="center" w:pos="717"/>
              </w:tabs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行政运行（政府办公厅（室）及相关机构事务）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145.82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145.82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145.82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145.82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其他政府办公厅（室）及相关机构事务支出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行政运行（政府办公厅（室）及相关机构事务）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135.82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131.50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4.32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145.82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131.50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14.32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145.82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145.82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145.82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145.82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145.82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145.82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145.82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克州行政服务中心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行政运行（政府办公厅（室）及相关机构事务）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135.82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其他政府办公厅（室）及相关机构事务支出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145.82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14.32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20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557"/>
        <w:gridCol w:w="2796"/>
        <w:gridCol w:w="962"/>
        <w:gridCol w:w="682"/>
        <w:gridCol w:w="944"/>
        <w:gridCol w:w="700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克州行政服务中心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7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6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培训费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39.21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39.21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差旅费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9.59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9.59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邮电费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奖金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3.27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3.27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租赁费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0.13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手续费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其他商品和服务支出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公务接待费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印刷费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其他商品和服务支出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物业管理费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1.50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办公用品及设备采购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3.50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51.57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51.57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奖励金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0.57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公务用车运行维护费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办公用品及设备采购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机关事业单位基本养老保险缴费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13。31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13.31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5.96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5.96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131.50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122.91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8.59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  <w:bookmarkStart w:id="0" w:name="_GoBack"/>
      <w:bookmarkEnd w:id="0"/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克州行政服务中心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03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行政运行（政府办公厅（室）及相关机构事务）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大厅保洁员工资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4.32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4.32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03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其他政府办公厅（室）及相关机构事务支出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业务经费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6.00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6.00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03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其他政府办公厅（室）及相关机构事务支出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车辆运行维护费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4.00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4.00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14.32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14.32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克州行政服务中心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7"/>
        <w:tblW w:w="849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21"/>
        <w:gridCol w:w="422"/>
        <w:gridCol w:w="2672"/>
        <w:gridCol w:w="1438"/>
        <w:gridCol w:w="1568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6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6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备注：克州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行政服务中心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20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年没有安排政府性基金预算支出，政府性基金预算支出情况表为空表。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418" w:bottom="1928" w:left="1588" w:header="851" w:footer="992" w:gutter="0"/>
          <w:pgNumType w:fmt="numberInDash" w:start="1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克州行政服务中心2020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145.82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145.82万元。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145.82万元。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145.82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145.82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主要原因是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人员经费社保养老财政负担部分按照基数调整减少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；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%，比上年增加（减少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：无政府性基金预算收入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，主要原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是上年度资金按照完工进度存在跨年支付，本年度已经全部支付完毕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145.82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131.50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90.17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主要原因是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人员经费社保养老财政负担部分按照基数调整减少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主要原因是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无变动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年财政拨款收支总预算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145.82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2020年克州行政服务中心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公共预算拨款基本支出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131.50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主要原因是：主要原因是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人员经费社保养老财政负担部分按照基数调整减少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。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145.82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</w:t>
      </w:r>
      <w:r>
        <w:rPr>
          <w:rFonts w:hint="eastAsia" w:ascii="楷体_GB2312" w:hAnsi="宋体" w:eastAsia="楷体_GB2312" w:cs="宋体"/>
          <w:b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一般公共服务（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201）</w:t>
      </w:r>
      <w:r>
        <w:rPr>
          <w:rFonts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财政事务（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03</w:t>
      </w:r>
      <w:r>
        <w:rPr>
          <w:rFonts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行政运行（政府办公厅（室）及相关机构事务）</w:t>
      </w:r>
      <w:r>
        <w:rPr>
          <w:rFonts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01</w:t>
      </w:r>
      <w:r>
        <w:rPr>
          <w:rFonts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）: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2020</w:t>
      </w:r>
      <w:r>
        <w:rPr>
          <w:rFonts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年预算数为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145.82</w:t>
      </w:r>
      <w:r>
        <w:rPr>
          <w:rFonts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万元，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比上年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减少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0.26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万元，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下降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0.2%，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主要原因是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人员经费社保养老财政负担部分按照基数调整减少</w:t>
      </w:r>
      <w:r>
        <w:rPr>
          <w:rFonts w:hint="eastAsia" w:ascii="仿宋_GB2312" w:hAnsi="宋体" w:eastAsia="仿宋_GB2312" w:cs="宋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；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131.50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39.21万元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51.57万元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3.27万元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13.31万元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5.96万元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9.59万元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、手续费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、物业管理费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、租赁费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1.02万元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3.50万元。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1、业务经费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业务经费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州领导批示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6万元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克州行政服务中心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Style w:val="10"/>
          <w:rFonts w:hint="eastAsia" w:ascii="仿宋_GB2312" w:hAnsi="楷体" w:eastAsia="仿宋_GB2312"/>
          <w:b w:val="0"/>
          <w:color w:val="000000"/>
          <w:spacing w:val="-4"/>
          <w:sz w:val="32"/>
          <w:szCs w:val="32"/>
        </w:rPr>
        <w:t>克州行政服务中心为财政全额补助事业单位，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独立核算机构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，</w:t>
      </w:r>
      <w:r>
        <w:rPr>
          <w:rStyle w:val="10"/>
          <w:rFonts w:hint="eastAsia" w:ascii="仿宋_GB2312" w:hAnsi="楷体" w:eastAsia="仿宋_GB2312"/>
          <w:b w:val="0"/>
          <w:color w:val="000000"/>
          <w:spacing w:val="-4"/>
          <w:sz w:val="32"/>
          <w:szCs w:val="32"/>
        </w:rPr>
        <w:t>编制人数12人，20</w:t>
      </w:r>
      <w:r>
        <w:rPr>
          <w:rStyle w:val="10"/>
          <w:rFonts w:hint="eastAsia" w:ascii="仿宋_GB2312" w:hAnsi="楷体" w:eastAsia="仿宋_GB2312"/>
          <w:b w:val="0"/>
          <w:color w:val="000000"/>
          <w:spacing w:val="-4"/>
          <w:sz w:val="32"/>
          <w:szCs w:val="32"/>
          <w:lang w:val="en-US" w:eastAsia="zh-CN"/>
        </w:rPr>
        <w:t>20</w:t>
      </w:r>
      <w:r>
        <w:rPr>
          <w:rStyle w:val="10"/>
          <w:rFonts w:hint="eastAsia" w:ascii="仿宋_GB2312" w:hAnsi="楷体" w:eastAsia="仿宋_GB2312"/>
          <w:b w:val="0"/>
          <w:color w:val="000000"/>
          <w:spacing w:val="-4"/>
          <w:sz w:val="32"/>
          <w:szCs w:val="32"/>
        </w:rPr>
        <w:t>年在职人数</w:t>
      </w:r>
      <w:r>
        <w:rPr>
          <w:rStyle w:val="10"/>
          <w:rFonts w:hint="eastAsia" w:ascii="仿宋_GB2312" w:hAnsi="楷体" w:eastAsia="仿宋_GB2312"/>
          <w:b w:val="0"/>
          <w:color w:val="000000"/>
          <w:spacing w:val="-4"/>
          <w:sz w:val="32"/>
          <w:szCs w:val="32"/>
          <w:lang w:val="en-US" w:eastAsia="zh-CN"/>
        </w:rPr>
        <w:t>10</w:t>
      </w:r>
      <w:r>
        <w:rPr>
          <w:rStyle w:val="10"/>
          <w:rFonts w:hint="eastAsia" w:ascii="仿宋_GB2312" w:hAnsi="楷体" w:eastAsia="仿宋_GB2312"/>
          <w:b w:val="0"/>
          <w:color w:val="000000"/>
          <w:spacing w:val="-4"/>
          <w:sz w:val="32"/>
          <w:szCs w:val="32"/>
        </w:rPr>
        <w:t>人，处级领导3个（主任职务1个，副主任职务2个），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内设4个职能科（室），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进驻中心办事单位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窗口工作人员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100余人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，该资金</w:t>
      </w:r>
      <w:r>
        <w:rPr>
          <w:rFonts w:hint="eastAsia" w:ascii="仿宋_GB2312" w:eastAsia="仿宋_GB2312"/>
          <w:color w:val="000000"/>
          <w:sz w:val="32"/>
          <w:szCs w:val="32"/>
        </w:rPr>
        <w:t>主要弥补中心公用经费，主要用途是用于大厅花卉费、报刊杂志订阅、大厅办公用品、办公耗材、印制办事指南等必需品，以达到更优质、更加高效、更加便捷的服务办事群众的目标。经中心核算预算需要业务经费60000元/年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2020年1-12月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2、车辆维修费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车辆维修费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州领导批示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4万元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克州行政服务中心</w:t>
      </w:r>
    </w:p>
    <w:p>
      <w:pPr>
        <w:spacing w:line="520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因工作需要，州政府将发改委车辆于2015年7月27日调配给我单位使用。该车为2005年5月25日出厂车辆，年限较长，为确保行车安全，车辆后期的维护、保养及保险</w:t>
      </w:r>
      <w:r>
        <w:rPr>
          <w:rFonts w:hint="eastAsia" w:ascii="仿宋_GB2312" w:eastAsia="仿宋_GB2312"/>
          <w:color w:val="000000"/>
          <w:sz w:val="32"/>
          <w:szCs w:val="32"/>
        </w:rPr>
        <w:t>费、燃油费等预算使用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0000元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，弥补中心公用经费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10000元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2020年1-12月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：大厅保洁员工资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州领导批示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4.32万元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克州行政服务中心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克州行政服务中心面积1300平方米，每日办事群众人均流量约2000人次，为营造更加舒适、干净、整洁的工作环境，外聘两名保洁员专职负责保持大厅周一至周五公共环境卫生。2人*1800/月*12个月=43200元/年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2020年1月-12月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财政拨款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1800元/人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大厅外聘两名保洁员劳务报酬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劳务报酬转账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/现金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月底办公室根据保洁员工作情况报财务室、由财务室依据审批程序进行发放，一般以转账或现金的形式发放工资。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sz w:val="32"/>
        </w:rPr>
        <w:t>受益人群和社会效益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社会贫困人群、解决和增加社会无业人员、贫困人就业问题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八、关于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克州行政服务中心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 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：未安排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因公出国（境）费；公务用车购置费为0，主要原因是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未安排预算；公务用车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运行费减少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万元，主要原因是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：根据以前年度预测可以适当减少公务用车运行费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；公务接待费增加（减少）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万元，主要原因是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：按照上年标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准执行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%。主要原因是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：工资调资，引起工会经费、福利费增加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克州行政服务中心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及下属单位政府采购预算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27.81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万元，其中：政府采购货物预算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23.81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万元，政府采购工程预算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万元，政府采购服务预算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年度本部门面向中小企业预留政府采购项目预算金额</w:t>
      </w: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27.81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27.81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960" w:firstLine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价值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59.1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万元；其中：一般公务用车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辆，价值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59.1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万元；执法执勤用车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辆，价值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万元；其他车辆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辆，价值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3.办公家具价值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40.44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4.其他资产价值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456.88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，安排购置50万元以上大型设备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台（套），单位价值100万元以上大型设备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克州行政服务中心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业务经费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采购办公用品、办公耗材、日用品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采购办公用品、办公耗材、日用品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采购办公用品、办公耗材、日用品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开始时间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结束时间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2020年12月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加强中心公共服务建设和工作后勤保障建设，提高工作质量和服务水平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加强中心公共服务建设和工作后勤保障建设，提高工作质量和服务水平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工作质量、工作效率进一步改善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工作质量、工作效率进一步改善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工作质量、工作效率进一步改善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工作质量、工作效率进一步改善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加强中心公共服务建设和工作后勤保障建设，提高工作质量和服务水平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加强中心公共服务建设和工作后勤保障建设，提高工作质量和服务水平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加强中心公共服务建设和工作后勤保障建设，提高工作质量和服务水平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加强中心公共服务建设和工作后勤保障建设，提高工作质量和服务水平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工作人员及群众满意度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工作人员及群众满意度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克州行政服务中心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车辆维修费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采购车辆维修费、燃油费、保险费、办公用品、办公耗材、日用品等货物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车辆维修费、燃油费、保险费、办公用品等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车辆维修费、燃油费、保险费、办公用品等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开始时间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结束时间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2020年12月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加强中心公共服务建设和提高中心后勤保障工作、保障车辆及人身安全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加强中心公共服务建设和提高中心后勤保障工作、保障车辆及人身安全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提高工作质量、工作效率进一步改善、保障车辆及人身安全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提高工作质量、工作效率进一步改善、保障车辆及人身安全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加强中心公共服务建设和提高中心后勤保障工作、保障车辆及人身安全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加强中心公共服务建设和提高中心后勤保障工作、保障车辆及人身安全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加强中心公共服务建设和提高中心后勤保障工作、保障车辆及人身安全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加强中心公共服务建设和提高中心后勤保障工作、保障车辆及人身安全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提高工作质量、工作效率进一步改善、保障车辆及人身安全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提高工作质量、工作效率进一步改善、保障车辆及人身安全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工作开展情况、车辆及人身安全保障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工作开展情况、车辆及人身安全保障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克州行政服务中心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大厅保洁员工资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4.32万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4.32万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大厅保洁员工资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(大厅面积300平方米）2人*1800元/月=3600*12个月=4.32万元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4.32万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(大厅面积300平方米）2人*1800元/月=3600*12个月=4.32万元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开始时间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结束时间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2020年12月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2人*1800元/月=3600*12个月=4.32万元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2人*1800元/月=3600*12个月=4.32万元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提高工作质量、营造舒适干净整洁的办公环境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提高工作质量、营造舒适干净整洁的办公环境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提高工作质量、营造舒适干净整洁的办公环境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提高工作质量、营造舒适干净整洁的办公环境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加强中心公共服务建设和工作后勤保障建设，提高工作质量和服务水平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加强中心公共服务建设和工作后勤保障建设，提高工作质量和服务水平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加强中心公共服务建设和工作后勤保障建设，提高工作质量和服务水平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加强中心公共服务建设和工作后勤保障建设，提高工作质量和服务水平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工作人员及群众满意度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工作人员及群众满意度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0"/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  <w:sz w:val="32"/>
          <w:szCs w:val="32"/>
        </w:rPr>
        <w:t>（各部门单位应根据部门预算公开表中对应的经费情况进行名词解释，对未涉及的名词应删除）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克州行政服务中心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</w:t>
      </w:r>
    </w:p>
    <w:p>
      <w:pPr>
        <w:widowControl/>
        <w:spacing w:line="520" w:lineRule="exact"/>
        <w:ind w:firstLine="5760" w:firstLineChars="18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3381D19"/>
    <w:rsid w:val="03E92CC8"/>
    <w:rsid w:val="06C6404A"/>
    <w:rsid w:val="07821EC8"/>
    <w:rsid w:val="08D34175"/>
    <w:rsid w:val="092922F9"/>
    <w:rsid w:val="0B9C6FD1"/>
    <w:rsid w:val="0FE23E05"/>
    <w:rsid w:val="0FFA4EDC"/>
    <w:rsid w:val="10422EBA"/>
    <w:rsid w:val="12D14E47"/>
    <w:rsid w:val="136F7302"/>
    <w:rsid w:val="16702BD4"/>
    <w:rsid w:val="17182E6A"/>
    <w:rsid w:val="17901610"/>
    <w:rsid w:val="1C3E2F01"/>
    <w:rsid w:val="1C8F10A9"/>
    <w:rsid w:val="1D8A48AD"/>
    <w:rsid w:val="1DA35CE5"/>
    <w:rsid w:val="1EAA66A6"/>
    <w:rsid w:val="202A2251"/>
    <w:rsid w:val="20902494"/>
    <w:rsid w:val="22B1228B"/>
    <w:rsid w:val="25D93C7F"/>
    <w:rsid w:val="28EB4869"/>
    <w:rsid w:val="2A8A20E4"/>
    <w:rsid w:val="2A8F0419"/>
    <w:rsid w:val="2D5627FC"/>
    <w:rsid w:val="2E39525D"/>
    <w:rsid w:val="2F6E6574"/>
    <w:rsid w:val="308026B9"/>
    <w:rsid w:val="317A07F3"/>
    <w:rsid w:val="351278D3"/>
    <w:rsid w:val="363C4229"/>
    <w:rsid w:val="3A3F7312"/>
    <w:rsid w:val="3E296641"/>
    <w:rsid w:val="3ECE4DAA"/>
    <w:rsid w:val="3EE54426"/>
    <w:rsid w:val="3F4970DD"/>
    <w:rsid w:val="41916661"/>
    <w:rsid w:val="45ED43FE"/>
    <w:rsid w:val="462B2E63"/>
    <w:rsid w:val="46982AFB"/>
    <w:rsid w:val="487C3528"/>
    <w:rsid w:val="48A37EC2"/>
    <w:rsid w:val="4A354DF6"/>
    <w:rsid w:val="4D262BF1"/>
    <w:rsid w:val="4D537B97"/>
    <w:rsid w:val="5023495E"/>
    <w:rsid w:val="52ED04DC"/>
    <w:rsid w:val="536A5B52"/>
    <w:rsid w:val="57600C8A"/>
    <w:rsid w:val="590A02DA"/>
    <w:rsid w:val="59365D33"/>
    <w:rsid w:val="59C1150F"/>
    <w:rsid w:val="5B0E431C"/>
    <w:rsid w:val="5C7C4E14"/>
    <w:rsid w:val="5F0C36DD"/>
    <w:rsid w:val="5F2D153D"/>
    <w:rsid w:val="5F450EF6"/>
    <w:rsid w:val="5FA82AB5"/>
    <w:rsid w:val="5FB20108"/>
    <w:rsid w:val="6194731E"/>
    <w:rsid w:val="631B4D5D"/>
    <w:rsid w:val="63293BFA"/>
    <w:rsid w:val="6394717A"/>
    <w:rsid w:val="671105B3"/>
    <w:rsid w:val="679B56DD"/>
    <w:rsid w:val="68776133"/>
    <w:rsid w:val="693B7DCA"/>
    <w:rsid w:val="699F7CF5"/>
    <w:rsid w:val="69C57C44"/>
    <w:rsid w:val="6BCF1031"/>
    <w:rsid w:val="6C413AA7"/>
    <w:rsid w:val="6F82573F"/>
    <w:rsid w:val="71015C1D"/>
    <w:rsid w:val="72BE1EB6"/>
    <w:rsid w:val="73A87C92"/>
    <w:rsid w:val="75193921"/>
    <w:rsid w:val="75892309"/>
    <w:rsid w:val="75C030D0"/>
    <w:rsid w:val="77106062"/>
    <w:rsid w:val="77960D5A"/>
    <w:rsid w:val="79AB4509"/>
    <w:rsid w:val="79AD3743"/>
    <w:rsid w:val="7B89272B"/>
    <w:rsid w:val="7D56102C"/>
    <w:rsid w:val="7DAD12CD"/>
    <w:rsid w:val="7FB2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28</TotalTime>
  <ScaleCrop>false</ScaleCrop>
  <LinksUpToDate>false</LinksUpToDate>
  <CharactersWithSpaces>10542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暴露年龄</cp:lastModifiedBy>
  <cp:lastPrinted>2020-11-22T08:50:00Z</cp:lastPrinted>
  <dcterms:modified xsi:type="dcterms:W3CDTF">2020-11-25T09:34:33Z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