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egoe UI" w:hAnsi="Segoe UI" w:eastAsia="宋体" w:cs="Segoe UI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Segoe UI" w:hAnsi="Segoe UI" w:eastAsia="宋体" w:cs="Segoe UI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  <w:drawing>
          <wp:inline distT="0" distB="0" distL="114300" distR="114300">
            <wp:extent cx="5547995" cy="7557770"/>
            <wp:effectExtent l="0" t="0" r="14605" b="5080"/>
            <wp:docPr id="1" name="图片 1" descr="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特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Segoe UI" w:hAnsi="Segoe UI" w:eastAsia="宋体" w:cs="Segoe UI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</w:pPr>
    </w:p>
    <w:p>
      <w:pPr>
        <w:rPr>
          <w:rFonts w:hint="eastAsia" w:ascii="Segoe UI" w:hAnsi="Segoe UI" w:eastAsia="宋体" w:cs="Segoe UI"/>
          <w:b/>
          <w:i w:val="0"/>
          <w:caps w:val="0"/>
          <w:color w:val="333333"/>
          <w:spacing w:val="0"/>
          <w:sz w:val="36"/>
          <w:szCs w:val="36"/>
          <w:shd w:val="clear" w:color="auto" w:fill="FFFFFF"/>
          <w:lang w:eastAsia="zh-CN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/>
    <w:p/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黑体" w:hAnsi="黑体" w:eastAsia="黑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outlineLvl w:val="1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方正小标宋_GBK" w:hAnsi="宋体" w:eastAsia="方正小标宋_GBK"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kern w:val="0"/>
          <w:sz w:val="44"/>
          <w:szCs w:val="44"/>
        </w:rPr>
        <w:t>克孜勒苏柯尔克孜自治州</w:t>
      </w:r>
      <w:r>
        <w:rPr>
          <w:rFonts w:hint="eastAsia" w:ascii="方正小标宋_GBK" w:hAnsi="宋体" w:eastAsia="方正小标宋_GBK"/>
          <w:kern w:val="0"/>
          <w:sz w:val="44"/>
          <w:szCs w:val="44"/>
          <w:lang w:val="en-US" w:eastAsia="zh-CN"/>
        </w:rPr>
        <w:t>特种设备检验检测所2020</w:t>
      </w:r>
      <w:r>
        <w:rPr>
          <w:rFonts w:hint="eastAsia" w:ascii="方正小标宋_GBK" w:hAnsi="宋体" w:eastAsia="方正小标宋_GBK"/>
          <w:kern w:val="0"/>
          <w:sz w:val="44"/>
          <w:szCs w:val="44"/>
        </w:rPr>
        <w:t>年部门预算公开</w:t>
      </w: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center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before="100" w:beforeAutospacing="1" w:after="100" w:afterAutospacing="1"/>
        <w:jc w:val="both"/>
        <w:outlineLvl w:val="1"/>
        <w:rPr>
          <w:rFonts w:ascii="宋体" w:hAnsi="宋体"/>
          <w:b/>
          <w:kern w:val="0"/>
          <w:sz w:val="44"/>
          <w:szCs w:val="44"/>
        </w:rPr>
      </w:pPr>
    </w:p>
    <w:p>
      <w:pPr>
        <w:widowControl/>
        <w:spacing w:line="460" w:lineRule="exact"/>
        <w:ind w:firstLine="900" w:firstLineChars="250"/>
        <w:jc w:val="center"/>
        <w:outlineLvl w:val="1"/>
        <w:rPr>
          <w:rFonts w:ascii="黑体" w:hAnsi="黑体" w:eastAsia="黑体"/>
          <w:kern w:val="0"/>
          <w:sz w:val="36"/>
          <w:szCs w:val="32"/>
        </w:rPr>
      </w:pPr>
      <w:r>
        <w:rPr>
          <w:rFonts w:hint="eastAsia" w:ascii="黑体" w:hAnsi="黑体" w:eastAsia="黑体"/>
          <w:kern w:val="0"/>
          <w:sz w:val="36"/>
          <w:szCs w:val="32"/>
        </w:rPr>
        <w:t>目 录</w:t>
      </w:r>
    </w:p>
    <w:p>
      <w:pPr>
        <w:widowControl/>
        <w:spacing w:line="460" w:lineRule="exact"/>
        <w:ind w:firstLine="720" w:firstLineChars="200"/>
        <w:outlineLvl w:val="1"/>
        <w:rPr>
          <w:rFonts w:ascii="黑体" w:hAnsi="黑体" w:eastAsia="黑体"/>
          <w:kern w:val="0"/>
          <w:sz w:val="36"/>
          <w:szCs w:val="32"/>
        </w:rPr>
      </w:pP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第一部分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 xml:space="preserve"> 克州特种设备检验检测所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部门单位概况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一、主要职能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二、机构设置及人员情况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第二部分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克州特种设备检验检测所2020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年部门预算公开表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一、部门收支总体情况表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二、部门收入总体情况表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三、部门支出总体情况表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四、财政拨款收支总体情况表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五、一般公共预算支出情况表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六、一般公共预算基本支出情况表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七、</w:t>
      </w:r>
      <w:r>
        <w:rPr>
          <w:rFonts w:hint="eastAsia" w:ascii="仿宋_GB2312" w:hAnsi="宋体" w:eastAsia="仿宋_GB2312"/>
          <w:bCs/>
          <w:kern w:val="0"/>
          <w:sz w:val="32"/>
          <w:szCs w:val="32"/>
        </w:rPr>
        <w:t>项目支出情况表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八、一般公共预算“三公”经费支出情况表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九、政府性基金预算支出情况表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第三部分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克州特种设备检验检测所2020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年部门预算情况说明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一、关于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二、关于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年收入预算情况说明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三、关于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年支出预算情况说明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四、关于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年财政拨款收支预算情况的总体说明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五、关于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年一般公共预算当年拨款情况说明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六、关于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年一般公共预算基本支出情况说明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七、关于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年项目支出情况说明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八、关于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 xml:space="preserve">九、关于 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val="en-US" w:eastAsia="zh-CN"/>
        </w:rPr>
        <w:t>克州特种设备检验检测所2020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年政府性基金预算拨款情况说明</w:t>
      </w:r>
    </w:p>
    <w:p>
      <w:pPr>
        <w:widowControl/>
        <w:spacing w:line="460" w:lineRule="exact"/>
        <w:ind w:firstLine="640" w:firstLineChars="200"/>
        <w:outlineLvl w:val="1"/>
        <w:rPr>
          <w:rFonts w:ascii="仿宋_GB2312" w:hAnsi="宋体" w:eastAsia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</w:rPr>
        <w:t>十、其他重要事项的情况说明</w:t>
      </w:r>
    </w:p>
    <w:p>
      <w:pPr>
        <w:widowControl/>
        <w:spacing w:line="460" w:lineRule="exact"/>
        <w:ind w:firstLine="643" w:firstLineChars="20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第四部分  名词解释</w:t>
      </w: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第一部分  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黑体" w:eastAsia="黑体"/>
          <w:kern w:val="0"/>
          <w:sz w:val="32"/>
          <w:szCs w:val="32"/>
        </w:rPr>
        <w:t>部门单位概况</w:t>
      </w:r>
    </w:p>
    <w:p>
      <w:pPr>
        <w:widowControl/>
        <w:jc w:val="center"/>
        <w:outlineLvl w:val="1"/>
        <w:rPr>
          <w:rFonts w:ascii="宋体" w:hAnsi="宋体"/>
          <w:b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　  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一、主要职能</w:t>
      </w:r>
    </w:p>
    <w:p>
      <w:pPr>
        <w:widowControl/>
        <w:numPr>
          <w:ilvl w:val="0"/>
          <w:numId w:val="0"/>
        </w:numPr>
        <w:spacing w:before="100" w:beforeAutospacing="1" w:after="240" w:line="300" w:lineRule="auto"/>
        <w:ind w:firstLine="640"/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承担锅炉、压力容器、电梯、起重机械安装、维修、改造监督检验。承担压力管道安装监督检验。承担锅炉、压力容器、压力管道、电梯、起重机械和场（厂）内机动车辆的定期检验。承担锅炉介质的定期检验。承担安全阀定期检验及各类气瓶的检验检测工作。</w:t>
      </w:r>
    </w:p>
    <w:p>
      <w:pPr>
        <w:widowControl/>
        <w:numPr>
          <w:ilvl w:val="0"/>
          <w:numId w:val="0"/>
        </w:numPr>
        <w:spacing w:before="100" w:beforeAutospacing="1" w:after="240" w:line="300" w:lineRule="auto"/>
        <w:ind w:firstLine="640"/>
        <w:jc w:val="left"/>
        <w:rPr>
          <w:rFonts w:ascii="仿宋_GB2312" w:hAnsi="黑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二、机构设置及人员情况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单位无下属预算单位，下设  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 xml:space="preserve"> 个处室，分别是：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业务室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机电室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承压室和气瓶室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单位编制数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15人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，实有人数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人，其中：在职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人，减少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人； 退休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人，增加或减少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人；离休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人，增加或减少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人。</w:t>
      </w: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widowControl/>
        <w:spacing w:before="120" w:beforeLines="50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第二部分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年部门预算公开表</w:t>
      </w:r>
    </w:p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表一：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部门收支总体情况表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克州特种设备检验检测所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单位：万元</w:t>
      </w:r>
    </w:p>
    <w:tbl>
      <w:tblPr>
        <w:tblStyle w:val="7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88"/>
        <w:gridCol w:w="2693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收     入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 目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功能分类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225.04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225.04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一般公共预算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225.04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政府性基金预算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教育收费（财政专户）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上级补助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事业单位经营收入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其他收入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上级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专项收入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用事业基金弥补收支差额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小         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225.04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单位上年结余（不包括国库集中支付额度结余）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11.1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22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236.14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合  计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236.14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表二：</w:t>
      </w:r>
    </w:p>
    <w:p>
      <w:pPr>
        <w:widowControl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部门收入总体情况表</w:t>
      </w:r>
    </w:p>
    <w:p>
      <w:pPr>
        <w:widowControl/>
        <w:jc w:val="center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填报部门：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克州特种设备检验检测所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 单位：万元</w:t>
      </w:r>
    </w:p>
    <w:tbl>
      <w:tblPr>
        <w:tblStyle w:val="7"/>
        <w:tblpPr w:leftFromText="180" w:rightFromText="180" w:vertAnchor="text" w:horzAnchor="page" w:tblpX="825" w:tblpY="322"/>
        <w:tblOverlap w:val="never"/>
        <w:tblW w:w="108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17"/>
        <w:gridCol w:w="417"/>
        <w:gridCol w:w="934"/>
        <w:gridCol w:w="820"/>
        <w:gridCol w:w="876"/>
        <w:gridCol w:w="520"/>
        <w:gridCol w:w="680"/>
        <w:gridCol w:w="680"/>
        <w:gridCol w:w="816"/>
        <w:gridCol w:w="767"/>
        <w:gridCol w:w="709"/>
        <w:gridCol w:w="417"/>
        <w:gridCol w:w="1043"/>
        <w:gridCol w:w="1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功能分类科目编码</w:t>
            </w:r>
          </w:p>
        </w:tc>
        <w:tc>
          <w:tcPr>
            <w:tcW w:w="9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功能分类科目名称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总  计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一般公共预算拨款</w:t>
            </w:r>
          </w:p>
        </w:tc>
        <w:tc>
          <w:tcPr>
            <w:tcW w:w="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政府性基金预算拨款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财政专户管理资金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事业收入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上级补助收入</w:t>
            </w:r>
          </w:p>
        </w:tc>
        <w:tc>
          <w:tcPr>
            <w:tcW w:w="7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事业单位经营收入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其他收入</w:t>
            </w:r>
          </w:p>
        </w:tc>
        <w:tc>
          <w:tcPr>
            <w:tcW w:w="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  <w:p>
            <w:pPr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上级</w:t>
            </w:r>
            <w:r>
              <w:rPr>
                <w:rFonts w:ascii="仿宋_GB2312" w:eastAsia="仿宋_GB2312"/>
                <w:b/>
                <w:color w:val="000000"/>
                <w:sz w:val="20"/>
                <w:szCs w:val="20"/>
              </w:rPr>
              <w:t>专项收入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用事业基金弥补收支差额</w:t>
            </w:r>
          </w:p>
        </w:tc>
        <w:tc>
          <w:tcPr>
            <w:tcW w:w="12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18"/>
                <w:szCs w:val="18"/>
              </w:rPr>
              <w:t>单位上年结余（不包括国库集中支付额度结余）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类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款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0"/>
                <w:szCs w:val="20"/>
              </w:rPr>
              <w:t>项</w:t>
            </w:r>
          </w:p>
        </w:tc>
        <w:tc>
          <w:tcPr>
            <w:tcW w:w="9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38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50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事业运行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236.14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225.04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11.1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236.14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225.04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hint="default" w:ascii="仿宋_GB2312" w:eastAsia="仿宋_GB2312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仿宋_GB2312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400"/>
              <w:rPr>
                <w:rFonts w:hint="default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color w:val="000000"/>
                <w:sz w:val="20"/>
                <w:szCs w:val="20"/>
                <w:lang w:val="en-US" w:eastAsia="zh-CN"/>
              </w:rPr>
              <w:t>11.1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表三：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部门支出总体情况表</w:t>
      </w:r>
    </w:p>
    <w:p>
      <w:pPr>
        <w:widowControl/>
        <w:spacing w:before="120" w:beforeLines="50"/>
        <w:ind w:left="480" w:hanging="480" w:hangingChars="200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  编制部门：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克州特种设备检验检测所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单位：万元</w:t>
      </w:r>
    </w:p>
    <w:tbl>
      <w:tblPr>
        <w:tblStyle w:val="7"/>
        <w:tblW w:w="9420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400"/>
        <w:gridCol w:w="399"/>
        <w:gridCol w:w="2582"/>
        <w:gridCol w:w="1846"/>
        <w:gridCol w:w="1846"/>
        <w:gridCol w:w="1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5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支出预算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88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8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201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38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  <w:lang w:val="en-US" w:eastAsia="zh-CN"/>
              </w:rPr>
              <w:t>50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事业运行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236.14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236.14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236.14</w:t>
            </w:r>
          </w:p>
        </w:tc>
        <w:tc>
          <w:tcPr>
            <w:tcW w:w="1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236.14</w:t>
            </w:r>
          </w:p>
        </w:tc>
        <w:tc>
          <w:tcPr>
            <w:tcW w:w="1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pacing w:before="120" w:beforeLines="50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表四：</w:t>
      </w:r>
    </w:p>
    <w:p>
      <w:pPr>
        <w:widowControl/>
        <w:spacing w:before="120" w:beforeLines="50"/>
        <w:jc w:val="center"/>
        <w:outlineLvl w:val="1"/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财政拨款收支预算总体情况</w:t>
      </w:r>
      <w:r>
        <w:rPr>
          <w:rFonts w:hint="eastAsia" w:ascii="仿宋_GB2312" w:hAnsi="宋体" w:eastAsia="仿宋_GB2312"/>
          <w:b/>
          <w:kern w:val="0"/>
          <w:sz w:val="32"/>
          <w:szCs w:val="32"/>
          <w:lang w:val="en-US" w:eastAsia="zh-CN"/>
        </w:rPr>
        <w:t>表</w:t>
      </w:r>
    </w:p>
    <w:p>
      <w:pPr>
        <w:widowControl/>
        <w:spacing w:before="120" w:beforeLines="50"/>
        <w:ind w:left="7200" w:hanging="7200" w:hangingChars="3000"/>
        <w:jc w:val="left"/>
        <w:outlineLvl w:val="1"/>
        <w:rPr>
          <w:rFonts w:hint="eastAsia" w:ascii="仿宋_GB2312" w:hAnsi="宋体" w:eastAsia="仿宋_GB2312"/>
          <w:kern w:val="0"/>
          <w:sz w:val="24"/>
          <w:lang w:val="en-US" w:eastAsia="zh-CN"/>
        </w:rPr>
      </w:pPr>
    </w:p>
    <w:p>
      <w:pPr>
        <w:widowControl/>
        <w:spacing w:before="120" w:beforeLines="50"/>
        <w:ind w:left="480" w:hanging="480" w:hangingChars="200"/>
        <w:jc w:val="left"/>
        <w:outlineLvl w:val="1"/>
        <w:rPr>
          <w:rFonts w:ascii="仿宋_GB2312" w:hAnsi="宋体" w:eastAsia="仿宋_GB2312"/>
          <w:kern w:val="0"/>
          <w:sz w:val="28"/>
          <w:szCs w:val="28"/>
        </w:rPr>
      </w:pP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填报单位：克州特种设备检验检测所</w:t>
      </w:r>
      <w:r>
        <w:rPr>
          <w:rFonts w:hint="eastAsia" w:ascii="仿宋_GB2312" w:hAnsi="宋体" w:eastAsia="仿宋_GB2312"/>
          <w:kern w:val="0"/>
          <w:sz w:val="28"/>
          <w:szCs w:val="28"/>
        </w:rPr>
        <w:t xml:space="preserve">     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kern w:val="0"/>
          <w:sz w:val="24"/>
          <w:szCs w:val="24"/>
        </w:rPr>
        <w:t xml:space="preserve"> 单位：万元        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宋体" w:eastAsia="仿宋_GB2312"/>
          <w:kern w:val="0"/>
          <w:sz w:val="28"/>
          <w:szCs w:val="28"/>
          <w:lang w:val="en-US" w:eastAsia="zh-CN"/>
        </w:rPr>
        <w:t xml:space="preserve">                           </w:t>
      </w:r>
    </w:p>
    <w:tbl>
      <w:tblPr>
        <w:tblStyle w:val="7"/>
        <w:tblW w:w="9449" w:type="dxa"/>
        <w:tblInd w:w="-2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30"/>
        <w:gridCol w:w="2580"/>
        <w:gridCol w:w="1418"/>
        <w:gridCol w:w="1275"/>
        <w:gridCol w:w="1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财政拨款收入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财政拨款支出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项    目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功  能  分  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合计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一般公共预算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0"/>
                <w:szCs w:val="20"/>
              </w:rPr>
              <w:t>政府性基金预算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财政拨款（补助）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225.04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201 一般公共服务支出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225.04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225.04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一般公共预算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225.04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202 外交支出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政府性基金预算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203 国防支出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204 公共安全支出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205 教育支出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206 科学技术支出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207 文化旅游体育与传媒支出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208 社会保障和就业支出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09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保险基金支出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210卫生健康支出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211 节能环保支出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212 城乡社区支出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213 农林水支出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214 交通运输支出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215 资源勘探工业信息等支出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216 商业服务业等支出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217 金融支出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219 援助其他地区支出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220 自然资源海洋气象等支出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221 住房保障支出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222 粮油物资储备支出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 xml:space="preserve">23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国有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资本经营预算支出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224灾害防治及应急管理支出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227 预备费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229 其他支出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230转移性支出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231 债务还本支出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232 债务付息支出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233 债务发行费用支出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收  入  总  计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225.04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支  出  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225.04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225.04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表五：</w:t>
      </w:r>
    </w:p>
    <w:tbl>
      <w:tblPr>
        <w:tblStyle w:val="7"/>
        <w:tblW w:w="9215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492"/>
        <w:gridCol w:w="418"/>
        <w:gridCol w:w="2510"/>
        <w:gridCol w:w="660"/>
        <w:gridCol w:w="1024"/>
        <w:gridCol w:w="216"/>
        <w:gridCol w:w="162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克州特种设备检验检测所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5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功能分类科目编码</w:t>
            </w:r>
          </w:p>
        </w:tc>
        <w:tc>
          <w:tcPr>
            <w:tcW w:w="251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功能分类科目名称</w:t>
            </w:r>
          </w:p>
        </w:tc>
        <w:tc>
          <w:tcPr>
            <w:tcW w:w="16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基本支出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251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事业运行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225.04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225.04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225.04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225.04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表六：</w:t>
      </w:r>
    </w:p>
    <w:tbl>
      <w:tblPr>
        <w:tblStyle w:val="7"/>
        <w:tblW w:w="9417" w:type="dxa"/>
        <w:tblInd w:w="-1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666"/>
        <w:gridCol w:w="2891"/>
        <w:gridCol w:w="995"/>
        <w:gridCol w:w="706"/>
        <w:gridCol w:w="976"/>
        <w:gridCol w:w="725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一般公共预算基本支出情况表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克州特种设备检验检测所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经济分类科目编码</w:t>
            </w:r>
          </w:p>
        </w:tc>
        <w:tc>
          <w:tcPr>
            <w:tcW w:w="28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经济分类科目名称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</w:p>
        </w:tc>
        <w:tc>
          <w:tcPr>
            <w:tcW w:w="28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56.71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56.71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77.56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4.73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19.89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19.89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7.81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7.81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14.30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手续费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0.05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05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7.54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7.54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专用材料费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7.92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225.04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181.00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44.04</w:t>
            </w:r>
          </w:p>
        </w:tc>
      </w:tr>
    </w:tbl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表七：</w:t>
      </w:r>
    </w:p>
    <w:tbl>
      <w:tblPr>
        <w:tblStyle w:val="7"/>
        <w:tblW w:w="9540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"/>
        <w:gridCol w:w="389"/>
        <w:gridCol w:w="397"/>
        <w:gridCol w:w="397"/>
        <w:gridCol w:w="851"/>
        <w:gridCol w:w="1456"/>
        <w:gridCol w:w="750"/>
        <w:gridCol w:w="110"/>
        <w:gridCol w:w="459"/>
        <w:gridCol w:w="536"/>
        <w:gridCol w:w="652"/>
        <w:gridCol w:w="652"/>
        <w:gridCol w:w="378"/>
        <w:gridCol w:w="200"/>
        <w:gridCol w:w="419"/>
        <w:gridCol w:w="578"/>
        <w:gridCol w:w="420"/>
        <w:gridCol w:w="420"/>
        <w:gridCol w:w="389"/>
        <w:gridCol w:w="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375" w:hRule="atLeast"/>
        </w:trPr>
        <w:tc>
          <w:tcPr>
            <w:tcW w:w="9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项目支出情况表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" w:type="dxa"/>
          <w:wAfter w:w="79" w:type="dxa"/>
          <w:trHeight w:val="405" w:hRule="atLeast"/>
        </w:trPr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编制部门：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>克州特种设备检验检测所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</w:t>
            </w:r>
          </w:p>
        </w:tc>
        <w:tc>
          <w:tcPr>
            <w:tcW w:w="2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91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 目 编 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科目</w:t>
            </w:r>
          </w:p>
        </w:tc>
        <w:tc>
          <w:tcPr>
            <w:tcW w:w="1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项目支出合计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工资福利支出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商品和服务支出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对个人和家庭的补助</w:t>
            </w:r>
          </w:p>
        </w:tc>
        <w:tc>
          <w:tcPr>
            <w:tcW w:w="6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债务利息及费用支出</w:t>
            </w:r>
          </w:p>
        </w:tc>
        <w:tc>
          <w:tcPr>
            <w:tcW w:w="57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资本性支出（基本建设）</w:t>
            </w:r>
          </w:p>
        </w:tc>
        <w:tc>
          <w:tcPr>
            <w:tcW w:w="41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资本性支出</w:t>
            </w:r>
          </w:p>
        </w:tc>
        <w:tc>
          <w:tcPr>
            <w:tcW w:w="57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对企业补助（基本建设）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对企业补助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对社会保障基金补助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其他支出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39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类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款</w:t>
            </w:r>
          </w:p>
        </w:tc>
        <w:tc>
          <w:tcPr>
            <w:tcW w:w="39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18"/>
                <w:szCs w:val="18"/>
              </w:rPr>
              <w:t>项</w:t>
            </w:r>
          </w:p>
        </w:tc>
        <w:tc>
          <w:tcPr>
            <w:tcW w:w="851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652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19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　</w:t>
            </w:r>
          </w:p>
        </w:tc>
        <w:tc>
          <w:tcPr>
            <w:tcW w:w="75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97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97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851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456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outlineLvl w:val="1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36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652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19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578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20" w:type="dxa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468" w:type="dxa"/>
            <w:gridSpan w:val="2"/>
            <w:shd w:val="clear" w:color="auto" w:fill="auto"/>
          </w:tcPr>
          <w:p>
            <w:pPr>
              <w:widowControl/>
              <w:jc w:val="left"/>
              <w:outlineLvl w:val="1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我单位本年没有使用项目支出预算拨款，故此表为空表</w:t>
      </w:r>
      <w:r>
        <w:rPr>
          <w:rFonts w:hint="eastAsia" w:ascii="仿宋_GB2312" w:hAnsi="宋体" w:eastAsia="仿宋_GB2312"/>
          <w:b/>
          <w:kern w:val="0"/>
          <w:sz w:val="28"/>
          <w:szCs w:val="32"/>
        </w:rPr>
        <w:t>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表八：</w:t>
      </w:r>
    </w:p>
    <w:p>
      <w:pPr>
        <w:widowControl/>
        <w:jc w:val="both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一般公共预算“三公”经费支出情况表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ind w:left="5040" w:hanging="5040" w:hangingChars="2100"/>
        <w:jc w:val="left"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 xml:space="preserve">编制单位：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克州特种设备检验检测所</w:t>
      </w:r>
      <w:r>
        <w:rPr>
          <w:rFonts w:hint="eastAsia" w:ascii="仿宋_GB2312" w:hAnsi="宋体" w:eastAsia="仿宋_GB2312"/>
          <w:kern w:val="0"/>
          <w:sz w:val="24"/>
        </w:rPr>
        <w:t xml:space="preserve">                             </w:t>
      </w:r>
      <w:r>
        <w:rPr>
          <w:rFonts w:hint="eastAsia" w:ascii="仿宋_GB2312" w:hAnsi="宋体" w:eastAsia="仿宋_GB2312"/>
          <w:kern w:val="0"/>
          <w:sz w:val="24"/>
          <w:lang w:val="en-US" w:eastAsia="zh-CN"/>
        </w:rPr>
        <w:t>单</w:t>
      </w:r>
      <w:r>
        <w:rPr>
          <w:rFonts w:hint="eastAsia" w:ascii="仿宋_GB2312" w:hAnsi="宋体" w:eastAsia="仿宋_GB2312"/>
          <w:kern w:val="0"/>
          <w:sz w:val="24"/>
        </w:rPr>
        <w:t>位：万元</w:t>
      </w:r>
    </w:p>
    <w:tbl>
      <w:tblPr>
        <w:tblStyle w:val="7"/>
        <w:tblW w:w="9240" w:type="dxa"/>
        <w:tblInd w:w="-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17"/>
        <w:gridCol w:w="1559"/>
        <w:gridCol w:w="1418"/>
        <w:gridCol w:w="1559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4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6.1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outlineLvl w:val="1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hint="eastAsia" w:ascii="仿宋_GB2312" w:hAnsi="宋体" w:eastAsia="仿宋_GB2312"/>
          <w:b/>
          <w:kern w:val="0"/>
          <w:sz w:val="32"/>
          <w:szCs w:val="32"/>
        </w:rPr>
      </w:pPr>
    </w:p>
    <w:p>
      <w:pPr>
        <w:widowControl/>
        <w:jc w:val="left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表九：</w:t>
      </w:r>
    </w:p>
    <w:p>
      <w:pPr>
        <w:widowControl/>
        <w:jc w:val="center"/>
        <w:outlineLvl w:val="1"/>
        <w:rPr>
          <w:rFonts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</w:rPr>
        <w:t>政府性基金预算支出情况表</w:t>
      </w:r>
    </w:p>
    <w:p>
      <w:pPr>
        <w:widowControl/>
        <w:outlineLvl w:val="1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编制单位：                                                     单位：万元</w:t>
      </w:r>
    </w:p>
    <w:tbl>
      <w:tblPr>
        <w:tblStyle w:val="7"/>
        <w:tblW w:w="9214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457"/>
        <w:gridCol w:w="457"/>
        <w:gridCol w:w="2896"/>
        <w:gridCol w:w="1559"/>
        <w:gridCol w:w="170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  目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政府性基金预算支出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功能分类科目编码</w:t>
            </w:r>
          </w:p>
        </w:tc>
        <w:tc>
          <w:tcPr>
            <w:tcW w:w="28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功能分类科目名称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基本支出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类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款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项</w:t>
            </w:r>
          </w:p>
        </w:tc>
        <w:tc>
          <w:tcPr>
            <w:tcW w:w="28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outlineLvl w:val="1"/>
        <w:rPr>
          <w:rFonts w:ascii="仿宋_GB2312" w:hAnsi="宋体" w:eastAsia="仿宋_GB2312"/>
          <w:b/>
          <w:kern w:val="0"/>
          <w:sz w:val="28"/>
          <w:szCs w:val="32"/>
        </w:rPr>
      </w:pPr>
      <w:r>
        <w:rPr>
          <w:rFonts w:hint="eastAsia" w:ascii="仿宋_GB2312" w:hAnsi="宋体" w:eastAsia="仿宋_GB2312"/>
          <w:b/>
          <w:kern w:val="0"/>
          <w:sz w:val="28"/>
          <w:szCs w:val="32"/>
        </w:rPr>
        <w:t>备注：</w:t>
      </w:r>
      <w:r>
        <w:rPr>
          <w:rFonts w:hint="eastAsia" w:ascii="仿宋_GB2312" w:hAnsi="宋体" w:eastAsia="仿宋_GB2312"/>
          <w:b/>
          <w:kern w:val="0"/>
          <w:sz w:val="28"/>
          <w:szCs w:val="32"/>
          <w:lang w:eastAsia="zh-CN"/>
        </w:rPr>
        <w:t>我单位本年没有使用政府性基金预算拨款安排的支出，故此表为空表。</w:t>
      </w:r>
    </w:p>
    <w:p>
      <w:pPr>
        <w:widowControl/>
        <w:jc w:val="left"/>
        <w:outlineLvl w:val="1"/>
        <w:rPr>
          <w:rFonts w:hint="eastAsia" w:ascii="仿宋_GB2312" w:hAnsi="宋体" w:eastAsia="仿宋_GB2312"/>
          <w:kern w:val="0"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18" w:bottom="1928" w:left="1588" w:header="851" w:footer="992" w:gutter="0"/>
          <w:pgNumType w:fmt="numberInDash"/>
          <w:cols w:space="720" w:num="1"/>
          <w:titlePg/>
          <w:docGrid w:linePitch="312" w:charSpace="0"/>
        </w:sectPr>
      </w:pP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第三部分  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kern w:val="0"/>
          <w:sz w:val="32"/>
          <w:szCs w:val="32"/>
        </w:rPr>
        <w:t>年部门预算情况说明</w:t>
      </w:r>
    </w:p>
    <w:p>
      <w:pPr>
        <w:spacing w:line="560" w:lineRule="exact"/>
        <w:jc w:val="center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kern w:val="0"/>
          <w:sz w:val="32"/>
          <w:szCs w:val="32"/>
        </w:rPr>
        <w:t>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按照全口径预算的原则，</w:t>
      </w:r>
      <w:r>
        <w:rPr>
          <w:rFonts w:hint="eastAsia" w:ascii="仿宋_GB2312" w:hAnsi="黑体" w:eastAsia="仿宋_GB2312" w:cs="宋体"/>
          <w:bCs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年所有收入和支出均纳入部门预算管理。收支总预算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236.14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收入预算包括：一般公共预算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225.04万元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支出预算包括：一般公共服务支出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236.14万元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二、关于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年收入预算情况说明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部门收入预算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236.14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一般公共预算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225.04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95.3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：公用取暖费重新核算面积，取暖费减少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    </w:t>
      </w:r>
    </w:p>
    <w:p>
      <w:pPr>
        <w:spacing w:line="560" w:lineRule="exact"/>
        <w:ind w:firstLine="640" w:firstLineChars="200"/>
        <w:rPr>
          <w:rFonts w:hint="default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政府性基金预算未安排。或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本年没有使用政府性基金预算拨款安排的支出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 xml:space="preserve">； 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单位上年结余（不包括国库集中支付额度结余）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11.1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2.79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：上缴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2018年结转暖气费，今年结余数减少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三、关于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部门单位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年支出预算情况说明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年支出预算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236.14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236.14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%，比上年减少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4.92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：公用取暖费重新核算面积，取暖费减少；机关事业养老保险由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20%下调到16%经费减少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项目支出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%，比上年增加（减少）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 w:val="0"/>
          <w:bCs w:val="0"/>
          <w:kern w:val="0"/>
          <w:sz w:val="32"/>
          <w:szCs w:val="32"/>
          <w:lang w:eastAsia="zh-CN"/>
        </w:rPr>
        <w:t>本年没有使用项目支出预算拨款安排的支出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四、关于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部门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年财政拨款收支预算情况的总体说明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年财政拨款收支总预算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225.04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16" w:firstLineChars="200"/>
        <w:rPr>
          <w:rFonts w:ascii="仿宋_GB2312" w:hAnsi="宋体" w:eastAsia="仿宋_GB2312" w:cs="宋体"/>
          <w:b/>
          <w:spacing w:val="-6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收入全部为一般公共预算拨款，无政府性基金预算拨款。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五、关于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年一般公共预算当年拨款情况说明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（一）一般公用预算当年拨款规模变化情况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年一般公共预算拨款基本支出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225.04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万元，比上年执行数减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%。主要原因是：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公用取暖费重新核算面积，取暖费减少；机关事业养老保险由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20%下调到16%经费减少</w:t>
      </w:r>
      <w:r>
        <w:rPr>
          <w:rFonts w:hint="eastAsia" w:ascii="仿宋_GB2312" w:hAnsi="宋体" w:eastAsia="仿宋_GB2312" w:cs="宋体"/>
          <w:spacing w:val="-6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（二）一般公共预算当年拨款结构情况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1.一般公共服务（类）</w:t>
      </w:r>
      <w:r>
        <w:rPr>
          <w:rFonts w:hint="eastAsia" w:ascii="楷体_GB2312" w:eastAsia="楷体_GB2312"/>
          <w:b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225.04</w:t>
      </w:r>
      <w:r>
        <w:rPr>
          <w:rFonts w:hint="eastAsia" w:ascii="楷体_GB2312" w:eastAsia="楷体_GB2312"/>
          <w:b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万元，占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100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%。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（三）一般公共预算当年拨款具体使用情况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1.例：</w:t>
      </w:r>
      <w:r>
        <w:rPr>
          <w:rFonts w:ascii="仿宋_GB2312" w:hAnsi="宋体" w:eastAsia="仿宋_GB2312" w:cs="宋体"/>
          <w:kern w:val="0"/>
          <w:sz w:val="32"/>
          <w:szCs w:val="32"/>
        </w:rPr>
        <w:t>一般公共服务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</w:t>
      </w:r>
      <w:r>
        <w:rPr>
          <w:rFonts w:ascii="仿宋_GB2312" w:hAnsi="宋体" w:eastAsia="仿宋_GB2312" w:cs="宋体"/>
          <w:kern w:val="0"/>
          <w:sz w:val="32"/>
          <w:szCs w:val="32"/>
        </w:rPr>
        <w:t>财政事务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38事业</w:t>
      </w:r>
      <w:r>
        <w:rPr>
          <w:rFonts w:ascii="仿宋_GB2312" w:hAnsi="宋体" w:eastAsia="仿宋_GB2312" w:cs="宋体"/>
          <w:kern w:val="0"/>
          <w:sz w:val="32"/>
          <w:szCs w:val="32"/>
        </w:rPr>
        <w:t>运行（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50</w:t>
      </w:r>
      <w:r>
        <w:rPr>
          <w:rFonts w:ascii="仿宋_GB2312" w:hAnsi="宋体" w:eastAsia="仿宋_GB2312" w:cs="宋体"/>
          <w:kern w:val="0"/>
          <w:sz w:val="32"/>
          <w:szCs w:val="32"/>
        </w:rPr>
        <w:t>）: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年预算数为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225.04</w:t>
      </w:r>
      <w:r>
        <w:rPr>
          <w:rFonts w:ascii="仿宋_GB2312" w:hAnsi="宋体" w:eastAsia="仿宋_GB2312" w:cs="宋体"/>
          <w:kern w:val="0"/>
          <w:sz w:val="32"/>
          <w:szCs w:val="32"/>
        </w:rPr>
        <w:t>万元，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比上年执行数减少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万元，下降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：公用取暖费重新核算面积，取暖费减少；机关事业养老保险由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20%下调到16%经费减少。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六、关于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年一般公共预算基本支出情况说明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年一般公共预算基本支出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225.04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人员经费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万元，主要包括：基本工资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56.71万元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、津贴补贴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77.56万元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4.73万元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、机关事业单位基本养老保险缴费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19.89万元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、其他社会保障缴费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、住房公积金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14.3万元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、奖励金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公用经费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万元，主要包括：办公费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0.83万元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邮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电费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0.82万元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、福利费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1.48万元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6.1万元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劳务费7.92万元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专用材料费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0.9万元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取暖费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7.54万元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手续费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0.05万元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维修费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2.5万元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办公用品及设备采购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7.80万元。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七、关于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年项目支出情况说明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2020年度未安排项目支出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八、关于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年一般公共预算“三公”经费预算情况说明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年“三公”经费财政拨款预算数为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万元，其中：因公出国（境）费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万元，公务用车购置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万元，公务用车运行费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6.1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万元，公务接待费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年“三公”经费财政拨款预算比上年增加（减少）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万元，其中：因公出国（境）费增加（减少）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 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本年没有安排此项预算拨款支出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；公务用车购置费为0，未安排预算。[或公务用车购置费增加（减少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本年没有安排此项预算拨款支出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]；公务用车运行费增加（减少）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万元，主要原因是 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本年没有安排此项预算拨款支出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；公务接待费增加（减少）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/>
          <w:b w:val="0"/>
          <w:bCs/>
          <w:kern w:val="0"/>
          <w:sz w:val="32"/>
          <w:szCs w:val="32"/>
          <w:lang w:eastAsia="zh-CN"/>
        </w:rPr>
        <w:t>本年没有安排此项预算拨款支出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九、关于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黑体" w:hAnsi="宋体" w:eastAsia="黑体" w:cs="宋体"/>
          <w:kern w:val="0"/>
          <w:sz w:val="32"/>
          <w:szCs w:val="32"/>
        </w:rPr>
        <w:t>部门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黑体" w:hAnsi="宋体" w:eastAsia="黑体" w:cs="宋体"/>
          <w:kern w:val="0"/>
          <w:sz w:val="32"/>
          <w:szCs w:val="32"/>
        </w:rPr>
        <w:t>年政府性基金预算拨款情况说明</w:t>
      </w:r>
    </w:p>
    <w:p>
      <w:pPr>
        <w:spacing w:line="560" w:lineRule="exact"/>
        <w:ind w:firstLine="643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情况一：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在预算中未安排政府性基金预算的部门，必须公开空表，同时做以下说明：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年没有使用政府性基金预算拨款安排的支出，政府性基金预算支出情况表为空表。</w:t>
      </w:r>
    </w:p>
    <w:p>
      <w:pPr>
        <w:spacing w:line="560" w:lineRule="exact"/>
        <w:ind w:firstLine="640" w:firstLineChars="200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十、其他重要事项的情况说明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（一）机关运行经费情况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本级及下属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家行政单位和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家事业单位的机关运行经费财政拨款预算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44.04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万元，比上年预算减少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3.68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万元，下降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7.71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%。主要原因是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：公用取暖费重新核算面积，取暖费减少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（二）政府采购情况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部门及下属单位政府采购预算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万元，其中：政府采购货物预算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18.81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万元，政府采购工程预算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万元，政府采购服务预算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2020</w:t>
      </w:r>
      <w:r>
        <w:rPr>
          <w:rFonts w:hint="eastAsia" w:ascii="仿宋_GB2312" w:hAnsi="仿宋_GB2312" w:eastAsia="仿宋_GB2312"/>
          <w:sz w:val="32"/>
        </w:rPr>
        <w:t xml:space="preserve">年度本部门面向中小企业预留政府采购项目预算金额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 xml:space="preserve">万元，其中：面向小微企业预留政府采购项目预算金额 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万元。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（三）国有资产占用使用情况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截至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2019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年底，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部门及下属各预算单位占用使用国有资产总体情况为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1.房屋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639.5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平方米，价值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65.72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2.车辆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万元；其中：一般公务用车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万元；执法执勤用车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万元；其他车辆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辆，价值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3.办公家具价值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5.88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4.其他资产价值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275.23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单位价值50万元以上大型设备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台（套），单位价值100万元以上大型设备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年部门预算未安排购置车辆经费（或安排购置车辆经费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万元），安排购置50万元以上大型设备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台（套），单位价值100万元以上大型设备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台（套）。</w:t>
      </w:r>
    </w:p>
    <w:p>
      <w:pPr>
        <w:spacing w:line="560" w:lineRule="exact"/>
        <w:ind w:firstLine="643" w:firstLineChars="200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（四）预算绩效情况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年度，本年度实行绩效管理的项目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个，涉及预算金额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万元。具体情况见下表（按项目分别填报）：</w:t>
      </w: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 w:start="13"/>
          <w:cols w:space="425" w:num="1"/>
          <w:docGrid w:type="lines" w:linePitch="312" w:charSpace="0"/>
        </w:sectPr>
      </w:pPr>
    </w:p>
    <w:tbl>
      <w:tblPr>
        <w:tblStyle w:val="7"/>
        <w:tblW w:w="1397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857"/>
        <w:gridCol w:w="1664"/>
        <w:gridCol w:w="500"/>
        <w:gridCol w:w="1164"/>
        <w:gridCol w:w="323"/>
        <w:gridCol w:w="323"/>
        <w:gridCol w:w="1925"/>
        <w:gridCol w:w="249"/>
        <w:gridCol w:w="1132"/>
        <w:gridCol w:w="2143"/>
        <w:gridCol w:w="249"/>
        <w:gridCol w:w="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39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outlineLvl w:val="1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32"/>
                <w:szCs w:val="32"/>
              </w:rPr>
              <w:t>项  目  支  出  绩  效  目  标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预算单位</w:t>
            </w:r>
          </w:p>
        </w:tc>
        <w:tc>
          <w:tcPr>
            <w:tcW w:w="58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XX单位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0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XXXXX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项目资金（万元）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其中：财政拨款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6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项目总体目标</w:t>
            </w:r>
          </w:p>
        </w:tc>
        <w:tc>
          <w:tcPr>
            <w:tcW w:w="11778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指标值（包含数字及文字描述）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项目完成指标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项目效益指标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85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19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14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77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spacing w:line="56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 w:start="21"/>
          <w:cols w:space="425" w:num="1"/>
          <w:docGrid w:type="lines" w:linePitch="312" w:charSpace="0"/>
        </w:sectPr>
      </w:pPr>
    </w:p>
    <w:p>
      <w:pPr>
        <w:widowControl/>
        <w:spacing w:line="520" w:lineRule="exact"/>
        <w:ind w:firstLine="630" w:firstLineChars="196"/>
        <w:jc w:val="left"/>
        <w:rPr>
          <w:rFonts w:ascii="楷体_GB2312" w:hAnsi="宋体" w:eastAsia="楷体_GB2312" w:cs="宋体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kern w:val="0"/>
          <w:sz w:val="32"/>
          <w:szCs w:val="32"/>
        </w:rPr>
        <w:t>（五）其他需说明的事项</w:t>
      </w:r>
    </w:p>
    <w:p>
      <w:pPr>
        <w:widowControl/>
        <w:spacing w:line="520" w:lineRule="exact"/>
        <w:ind w:firstLine="640" w:firstLineChars="20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克州特种设备检验检测所无其他需要说明的事项。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spacing w:before="156" w:beforeLines="50" w:line="520" w:lineRule="exact"/>
        <w:jc w:val="center"/>
        <w:outlineLvl w:val="1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第四部分  名词解释</w:t>
      </w:r>
    </w:p>
    <w:p>
      <w:pPr>
        <w:widowControl/>
        <w:spacing w:line="520" w:lineRule="exact"/>
        <w:ind w:firstLine="640"/>
        <w:jc w:val="lef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名词解释：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一、财政拨款：</w:t>
      </w:r>
      <w:r>
        <w:rPr>
          <w:rFonts w:hint="eastAsia" w:ascii="仿宋_GB2312" w:eastAsia="仿宋_GB2312"/>
          <w:sz w:val="32"/>
          <w:szCs w:val="32"/>
        </w:rPr>
        <w:t>指由一般公共预算、政府性基金预算安排的财政拨款数。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二、一般公共预算：</w:t>
      </w:r>
      <w:r>
        <w:rPr>
          <w:rFonts w:hint="eastAsia" w:ascii="仿宋_GB2312" w:eastAsia="仿宋_GB2312"/>
          <w:spacing w:val="-6"/>
          <w:sz w:val="32"/>
          <w:szCs w:val="32"/>
        </w:rPr>
        <w:t>包括公共财政拨款（补助）资金、专项收入。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、其他资金：</w:t>
      </w:r>
      <w:r>
        <w:rPr>
          <w:rFonts w:hint="eastAsia" w:ascii="仿宋_GB2312" w:eastAsia="仿宋_GB2312"/>
          <w:sz w:val="32"/>
          <w:szCs w:val="32"/>
        </w:rPr>
        <w:t>包括事业收入、经营收入、其他收入等。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、基本支出：</w:t>
      </w:r>
      <w:r>
        <w:rPr>
          <w:rFonts w:hint="eastAsia" w:ascii="仿宋_GB2312" w:eastAsia="仿宋_GB2312"/>
          <w:sz w:val="32"/>
          <w:szCs w:val="32"/>
        </w:rPr>
        <w:t>包括人员经费、商品和服务支出（定额）。其中，人员经费包括工资福利支出、对个人和家庭的补助。</w:t>
      </w:r>
    </w:p>
    <w:p>
      <w:pPr>
        <w:spacing w:line="520" w:lineRule="exact"/>
        <w:ind w:firstLine="642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、“三公”经费：</w:t>
      </w:r>
      <w:r>
        <w:rPr>
          <w:rFonts w:hint="eastAsia" w:ascii="仿宋_GB2312" w:eastAsia="仿宋_GB2312"/>
          <w:sz w:val="32"/>
          <w:szCs w:val="32"/>
        </w:rPr>
        <w:t>指自治州本级部门用一般公共预算财政拨款安排的因公出国（境）费、公务用车购置及运行费和公务接待费。其中，因公出国（境）费指单位公务出国（境）的住宿费、旅费、伙食补助费、杂费、培训费等支出；公务用车购置及运行费指单位公务用车购置费及租用费、燃料费、维修费、过路过桥费、保险费、安全奖励费用等支出；公务接待费指单位按规定开支的各类公务接待（含外宾接待）支出。</w:t>
      </w:r>
    </w:p>
    <w:p>
      <w:pPr>
        <w:spacing w:line="520" w:lineRule="exact"/>
        <w:ind w:firstLine="642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、机关运行经费：</w:t>
      </w:r>
      <w:r>
        <w:rPr>
          <w:rFonts w:hint="eastAsia" w:ascii="仿宋_GB2312" w:eastAsia="仿宋_GB2312"/>
          <w:sz w:val="32"/>
          <w:szCs w:val="32"/>
        </w:rPr>
        <w:t>指各部门的公用经费，包括办公及印刷费、邮电费、差旅费、会议费、福利费、日常维修费、专用材料及一般设备购置费、办公用房水电费、办公用房取暖费、办公用房物业管理费、公务用车运行维护费及其他费用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         </w:t>
      </w:r>
    </w:p>
    <w:p>
      <w:pPr>
        <w:widowControl/>
        <w:spacing w:line="520" w:lineRule="exact"/>
        <w:jc w:val="righ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克州特种设备检验检测所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spacing w:line="520" w:lineRule="exact"/>
        <w:jc w:val="righ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2020</w:t>
      </w:r>
      <w:r>
        <w:rPr>
          <w:rFonts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日</w:t>
      </w:r>
      <w:bookmarkStart w:id="0" w:name="_GoBack"/>
      <w:bookmarkEnd w:id="0"/>
    </w:p>
    <w:sectPr>
      <w:pgSz w:w="11906" w:h="16838"/>
      <w:pgMar w:top="1985" w:right="1531" w:bottom="1843" w:left="1531" w:header="851" w:footer="992" w:gutter="0"/>
      <w:pgNumType w:fmt="numberInDash" w:start="22"/>
      <w:cols w:space="425" w:num="1"/>
      <w:docGrid w:type="line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D28"/>
    <w:rsid w:val="00032AE8"/>
    <w:rsid w:val="000343F0"/>
    <w:rsid w:val="000D56B0"/>
    <w:rsid w:val="00106382"/>
    <w:rsid w:val="00114DEC"/>
    <w:rsid w:val="001934F0"/>
    <w:rsid w:val="00324290"/>
    <w:rsid w:val="00387451"/>
    <w:rsid w:val="00432267"/>
    <w:rsid w:val="00481CD5"/>
    <w:rsid w:val="005C42E0"/>
    <w:rsid w:val="008160EE"/>
    <w:rsid w:val="009D0AA2"/>
    <w:rsid w:val="00B22D8A"/>
    <w:rsid w:val="00D06D6F"/>
    <w:rsid w:val="00E469CA"/>
    <w:rsid w:val="00E7167C"/>
    <w:rsid w:val="02D541FB"/>
    <w:rsid w:val="0679267A"/>
    <w:rsid w:val="06B07329"/>
    <w:rsid w:val="0B272E8E"/>
    <w:rsid w:val="0B5A6049"/>
    <w:rsid w:val="0E79349C"/>
    <w:rsid w:val="0F3A7852"/>
    <w:rsid w:val="10E841D4"/>
    <w:rsid w:val="11907F35"/>
    <w:rsid w:val="119A728C"/>
    <w:rsid w:val="13B71B2C"/>
    <w:rsid w:val="14CB4D8E"/>
    <w:rsid w:val="1814602D"/>
    <w:rsid w:val="21BD06DD"/>
    <w:rsid w:val="24FA3165"/>
    <w:rsid w:val="2BFD1FA0"/>
    <w:rsid w:val="2C301B3D"/>
    <w:rsid w:val="2F0305FC"/>
    <w:rsid w:val="302F60FF"/>
    <w:rsid w:val="33DF5AC4"/>
    <w:rsid w:val="379D3B0E"/>
    <w:rsid w:val="38DF76E5"/>
    <w:rsid w:val="39F648F0"/>
    <w:rsid w:val="3B8E1530"/>
    <w:rsid w:val="3D313144"/>
    <w:rsid w:val="3D333B2A"/>
    <w:rsid w:val="40E20921"/>
    <w:rsid w:val="41166EF5"/>
    <w:rsid w:val="447C00F4"/>
    <w:rsid w:val="4B126BB2"/>
    <w:rsid w:val="4FF9444E"/>
    <w:rsid w:val="51B306FD"/>
    <w:rsid w:val="55836D2F"/>
    <w:rsid w:val="584279AE"/>
    <w:rsid w:val="597437C1"/>
    <w:rsid w:val="59F35601"/>
    <w:rsid w:val="5DAB679B"/>
    <w:rsid w:val="5E092E0F"/>
    <w:rsid w:val="5F2B3940"/>
    <w:rsid w:val="61FA4B1F"/>
    <w:rsid w:val="62D65D34"/>
    <w:rsid w:val="63A95ED2"/>
    <w:rsid w:val="64F81C60"/>
    <w:rsid w:val="65EE2425"/>
    <w:rsid w:val="671F2F49"/>
    <w:rsid w:val="68EC12A4"/>
    <w:rsid w:val="68ED26AD"/>
    <w:rsid w:val="6C387668"/>
    <w:rsid w:val="6EE9486A"/>
    <w:rsid w:val="6FD61F15"/>
    <w:rsid w:val="73A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0"/>
    <w:rPr>
      <w:sz w:val="18"/>
      <w:szCs w:val="18"/>
      <w:lang w:val="zh-CN" w:eastAsia="zh-CN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Indent 3"/>
    <w:basedOn w:val="1"/>
    <w:link w:val="20"/>
    <w:qFormat/>
    <w:uiPriority w:val="0"/>
    <w:pPr>
      <w:pBdr>
        <w:top w:val="single" w:color="auto" w:sz="12" w:space="1"/>
        <w:bottom w:val="single" w:color="auto" w:sz="12" w:space="1"/>
      </w:pBdr>
      <w:spacing w:line="600" w:lineRule="exact"/>
      <w:ind w:left="1280" w:hanging="1280" w:hangingChars="400"/>
    </w:pPr>
    <w:rPr>
      <w:rFonts w:eastAsia="仿宋_GB2312"/>
      <w:sz w:val="32"/>
      <w:lang w:val="zh-CN" w:eastAsia="zh-CN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rFonts w:cs="Times New Roman"/>
      <w:b/>
      <w:bCs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3"/>
    <w:qFormat/>
    <w:uiPriority w:val="99"/>
    <w:rPr>
      <w:sz w:val="18"/>
      <w:szCs w:val="18"/>
    </w:rPr>
  </w:style>
  <w:style w:type="paragraph" w:customStyle="1" w:styleId="14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5">
    <w:name w:val="批注框文本 字符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正文文本缩进 3 字符"/>
    <w:basedOn w:val="9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7">
    <w:name w:val="页脚 字符1"/>
    <w:qFormat/>
    <w:uiPriority w:val="99"/>
    <w:rPr>
      <w:rFonts w:ascii="Times New Roman" w:hAnsi="Times New Roman" w:eastAsia="黑体" w:cs="Times New Roman"/>
      <w:snapToGrid w:val="0"/>
      <w:kern w:val="0"/>
      <w:sz w:val="18"/>
      <w:szCs w:val="18"/>
      <w:lang w:val="zh-CN" w:eastAsia="zh-CN"/>
    </w:rPr>
  </w:style>
  <w:style w:type="character" w:customStyle="1" w:styleId="18">
    <w:name w:val="批注框文本 字符1"/>
    <w:link w:val="2"/>
    <w:semiHidden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9">
    <w:name w:val="页眉 字符1"/>
    <w:qFormat/>
    <w:uiPriority w:val="0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20">
    <w:name w:val="正文文本缩进 3 字符1"/>
    <w:link w:val="5"/>
    <w:qFormat/>
    <w:uiPriority w:val="0"/>
    <w:rPr>
      <w:rFonts w:ascii="Times New Roman" w:hAnsi="Times New Roman" w:eastAsia="仿宋_GB2312" w:cs="Times New Roman"/>
      <w:sz w:val="32"/>
      <w:szCs w:val="24"/>
      <w:lang w:val="zh-CN" w:eastAsia="zh-CN"/>
    </w:rPr>
  </w:style>
  <w:style w:type="paragraph" w:styleId="2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2">
    <w:name w:val="普通(网站)1"/>
    <w:basedOn w:val="1"/>
    <w:qFormat/>
    <w:uiPriority w:val="0"/>
    <w:rPr>
      <w:rFonts w:ascii="Calibri" w:hAnsi="Calibri" w:cs="黑体"/>
      <w:sz w:val="24"/>
    </w:rPr>
  </w:style>
  <w:style w:type="paragraph" w:customStyle="1" w:styleId="23">
    <w:name w:val="普通(网站)2"/>
    <w:basedOn w:val="1"/>
    <w:qFormat/>
    <w:uiPriority w:val="0"/>
    <w:rPr>
      <w:rFonts w:ascii="Calibri" w:hAnsi="Calibri" w:cs="黑体"/>
      <w:sz w:val="24"/>
    </w:rPr>
  </w:style>
  <w:style w:type="paragraph" w:customStyle="1" w:styleId="24">
    <w:name w:val="普通(网站)3"/>
    <w:basedOn w:val="1"/>
    <w:qFormat/>
    <w:uiPriority w:val="0"/>
    <w:rPr>
      <w:rFonts w:ascii="Calibri" w:hAnsi="Calibri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1576</Words>
  <Characters>8987</Characters>
  <Lines>74</Lines>
  <Paragraphs>21</Paragraphs>
  <TotalTime>1</TotalTime>
  <ScaleCrop>false</ScaleCrop>
  <LinksUpToDate>false</LinksUpToDate>
  <CharactersWithSpaces>10542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2020-01-09T08:29:00Z</dcterms:created>
  <dc:creator>穆斯塔帕</dc:creator>
  <cp:lastModifiedBy>小雪</cp:lastModifiedBy>
  <cp:lastPrinted>2020-01-09T10:17:00Z</cp:lastPrinted>
  <dcterms:modified xsi:type="dcterms:W3CDTF">2021-05-27T09:35:22Z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D873B79E224442E9A8F8D9D93408ACA0</vt:lpwstr>
  </property>
</Properties>
</file>