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egoe UI" w:hAnsi="Segoe UI" w:eastAsia="宋体" w:cs="Segoe UI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Segoe UI" w:hAnsi="Segoe UI" w:eastAsia="宋体" w:cs="Segoe UI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drawing>
          <wp:inline distT="0" distB="0" distL="114300" distR="114300">
            <wp:extent cx="5547995" cy="7557770"/>
            <wp:effectExtent l="0" t="0" r="14605" b="5080"/>
            <wp:docPr id="1" name="图片 1" descr="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Segoe UI" w:hAnsi="Segoe UI" w:eastAsia="宋体" w:cs="Segoe UI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</w:p>
    <w:p>
      <w:pPr>
        <w:rPr>
          <w:rFonts w:hint="eastAsia" w:ascii="Segoe UI" w:hAnsi="Segoe UI" w:eastAsia="宋体" w:cs="Segoe UI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特种设备检验检测所2020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 xml:space="preserve"> 克州特种设备检验检测所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一、关于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二、关于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三、关于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四、关于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五、关于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六、关于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七、关于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八、关于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 xml:space="preserve">九、关于 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克州特种设备检验检测所2020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numPr>
          <w:ilvl w:val="0"/>
          <w:numId w:val="0"/>
        </w:numPr>
        <w:spacing w:before="100" w:beforeAutospacing="1" w:after="240" w:line="300" w:lineRule="auto"/>
        <w:ind w:firstLine="64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承担锅炉、压力容器、电梯、起重机械安装、维修、改造监督检验。承担压力管道安装监督检验。承担锅炉、压力容器、压力管道、电梯、起重机械和场（厂）内机动车辆的定期检验。承担锅炉介质的定期检验。承担安全阀定期检验及各类气瓶的检验检测工作。</w:t>
      </w:r>
    </w:p>
    <w:p>
      <w:pPr>
        <w:widowControl/>
        <w:numPr>
          <w:ilvl w:val="0"/>
          <w:numId w:val="0"/>
        </w:numPr>
        <w:spacing w:before="100" w:beforeAutospacing="1" w:after="240" w:line="300" w:lineRule="auto"/>
        <w:ind w:firstLine="640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单位无下属预算单位，下设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业务室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机电室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承压室和气瓶室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单位编制数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，实有人数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人，其中：在职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人； 退休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人，增加或减少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人；离休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人，增加或减少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克州特种设备检验检测所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225.04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236.14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236.14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克州特种设备检验检测所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pPr w:leftFromText="180" w:rightFromText="180" w:vertAnchor="text" w:horzAnchor="page" w:tblpX="825" w:tblpY="322"/>
        <w:tblOverlap w:val="never"/>
        <w:tblW w:w="10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934"/>
        <w:gridCol w:w="820"/>
        <w:gridCol w:w="876"/>
        <w:gridCol w:w="520"/>
        <w:gridCol w:w="680"/>
        <w:gridCol w:w="680"/>
        <w:gridCol w:w="816"/>
        <w:gridCol w:w="767"/>
        <w:gridCol w:w="709"/>
        <w:gridCol w:w="417"/>
        <w:gridCol w:w="1043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事业运行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236.14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225.04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236.14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225.04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11.1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spacing w:before="120" w:beforeLines="50"/>
        <w:ind w:left="480" w:hanging="480" w:hangingChars="2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编制部门：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克州特种设备检验检测所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399"/>
        <w:gridCol w:w="2582"/>
        <w:gridCol w:w="1846"/>
        <w:gridCol w:w="1846"/>
        <w:gridCol w:w="1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事业运行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236.14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236.14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236.14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236.14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表</w:t>
      </w:r>
    </w:p>
    <w:p>
      <w:pPr>
        <w:widowControl/>
        <w:spacing w:before="120" w:beforeLines="50"/>
        <w:ind w:left="7200" w:hanging="7200" w:hangingChars="3000"/>
        <w:jc w:val="left"/>
        <w:outlineLvl w:val="1"/>
        <w:rPr>
          <w:rFonts w:hint="eastAsia" w:ascii="仿宋_GB2312" w:hAnsi="宋体" w:eastAsia="仿宋_GB2312"/>
          <w:kern w:val="0"/>
          <w:sz w:val="24"/>
          <w:lang w:val="en-US" w:eastAsia="zh-CN"/>
        </w:rPr>
      </w:pPr>
    </w:p>
    <w:p>
      <w:pPr>
        <w:widowControl/>
        <w:spacing w:before="120" w:beforeLines="50"/>
        <w:ind w:left="480" w:hanging="480" w:hangingChars="200"/>
        <w:jc w:val="left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填报单位：克州特种设备检验检测所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单位：万元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                     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225.04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225.04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225.04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225.04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225.04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克州特种设备检验检测所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225.04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225.04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1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66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克州特种设备检验检测所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44.04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克州特种设备检验检测所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我单位本年没有使用项目支出预算拨款，故此表为空表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both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ind w:left="5040" w:hanging="5040" w:hangingChars="2100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克州特种设备检验检测所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单</w:t>
      </w:r>
      <w:r>
        <w:rPr>
          <w:rFonts w:hint="eastAsia" w:ascii="仿宋_GB2312" w:hAnsi="宋体" w:eastAsia="仿宋_GB2312"/>
          <w:kern w:val="0"/>
          <w:sz w:val="24"/>
        </w:rPr>
        <w:t>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我单位本年没有使用政府性基金预算拨款安排的支出，故此表为空表。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236.14万元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：公用取暖费重新核算面积，取暖费减少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政府性基金预算未安排。或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本年没有使用政府性基金预算拨款安排的支出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 xml:space="preserve">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：上缴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2018年结转暖气费，今年结余数减少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：公用取暖费重新核算面积，取暖费减少；机关事业养老保险由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20%下调到16%经费减少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eastAsia="zh-CN"/>
        </w:rPr>
        <w:t>本年没有使用项目支出预算拨款安排的支出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万元，比上年执行数减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公用取暖费重新核算面积，取暖费减少；机关事业养老保险由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20%下调到16%经费减少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225.04</w:t>
      </w:r>
      <w:r>
        <w:rPr>
          <w:rFonts w:hint="eastAsia" w:ascii="楷体_GB2312" w:eastAsia="楷体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1.例：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：公用取暖费重新核算面积，取暖费减少；机关事业养老保险由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20%下调到16%经费减少。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225.04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19.89万元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劳务费7.92万元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维修费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办公用品及设备采购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2020年度未安排项目支出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万元，公务用车购置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 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本年没有安排此项预算拨款支出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；公务用车购置费为0，未安排预算。[或公务用车购置费增加（减少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本年没有安排此项预算拨款支出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本年没有安排此项预算拨款支出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本年没有安排此项预算拨款支出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万元，下降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：公用取暖费重新核算面积，取暖费减少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 xml:space="preserve">年度本部门面向中小企业预留政府采购项目预算金额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万元，其中：面向小微企业预留政府采购项目预算金额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639.5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275.23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台（套），单位价值100万元以上大型设备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个，涉及预算金额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万元。具体情况见下表（按项目分别填报）：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克州特种设备检验检测所无其他需要说明的事项。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克州特种设备检验检测所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20" w:lineRule="exact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D541FB"/>
    <w:rsid w:val="0679267A"/>
    <w:rsid w:val="06B07329"/>
    <w:rsid w:val="0B272E8E"/>
    <w:rsid w:val="0B5A6049"/>
    <w:rsid w:val="0E79349C"/>
    <w:rsid w:val="0F3A7852"/>
    <w:rsid w:val="10E841D4"/>
    <w:rsid w:val="11907F35"/>
    <w:rsid w:val="119A728C"/>
    <w:rsid w:val="13B71B2C"/>
    <w:rsid w:val="14CB4D8E"/>
    <w:rsid w:val="1814602D"/>
    <w:rsid w:val="21BD06DD"/>
    <w:rsid w:val="24FA3165"/>
    <w:rsid w:val="2BFD1FA0"/>
    <w:rsid w:val="2C301B3D"/>
    <w:rsid w:val="2F0305FC"/>
    <w:rsid w:val="302F60FF"/>
    <w:rsid w:val="33DF5AC4"/>
    <w:rsid w:val="379D3B0E"/>
    <w:rsid w:val="38DF76E5"/>
    <w:rsid w:val="39F648F0"/>
    <w:rsid w:val="3B8E1530"/>
    <w:rsid w:val="3D313144"/>
    <w:rsid w:val="3D333B2A"/>
    <w:rsid w:val="40E20921"/>
    <w:rsid w:val="41166EF5"/>
    <w:rsid w:val="447C00F4"/>
    <w:rsid w:val="4B126BB2"/>
    <w:rsid w:val="4FF9444E"/>
    <w:rsid w:val="51B306FD"/>
    <w:rsid w:val="55836D2F"/>
    <w:rsid w:val="584279AE"/>
    <w:rsid w:val="597437C1"/>
    <w:rsid w:val="59F35601"/>
    <w:rsid w:val="5DAB679B"/>
    <w:rsid w:val="5E092E0F"/>
    <w:rsid w:val="5F2B3940"/>
    <w:rsid w:val="61FA4B1F"/>
    <w:rsid w:val="62D65D34"/>
    <w:rsid w:val="63A95ED2"/>
    <w:rsid w:val="64F81C60"/>
    <w:rsid w:val="65EE2425"/>
    <w:rsid w:val="671F2F49"/>
    <w:rsid w:val="68EC12A4"/>
    <w:rsid w:val="68ED26AD"/>
    <w:rsid w:val="6C387668"/>
    <w:rsid w:val="6EE9486A"/>
    <w:rsid w:val="6FD61F15"/>
    <w:rsid w:val="73A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1</TotalTime>
  <ScaleCrop>false</ScaleCrop>
  <LinksUpToDate>false</LinksUpToDate>
  <CharactersWithSpaces>10542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小雪</cp:lastModifiedBy>
  <cp:lastPrinted>2020-01-09T10:17:00Z</cp:lastPrinted>
  <dcterms:modified xsi:type="dcterms:W3CDTF">2021-05-27T09:35:22Z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D873B79E224442E9A8F8D9D93408ACA0</vt:lpwstr>
  </property>
</Properties>
</file>