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val="0"/>
          <w:bCs w:val="0"/>
          <w:kern w:val="0"/>
          <w:sz w:val="21"/>
          <w:szCs w:val="21"/>
        </w:rPr>
      </w:pPr>
      <w:bookmarkStart w:id="0" w:name="_GoBack"/>
      <w:bookmarkEnd w:id="0"/>
    </w:p>
    <w:p>
      <w:pPr>
        <w:widowControl/>
        <w:spacing w:before="100" w:beforeAutospacing="1" w:after="100" w:afterAutospacing="1"/>
        <w:jc w:val="center"/>
        <w:outlineLvl w:val="1"/>
        <w:rPr>
          <w:rFonts w:hint="eastAsia" w:ascii="方正小标宋_GBK" w:hAnsi="宋体" w:eastAsia="方正小标宋_GBK"/>
          <w:kern w:val="0"/>
          <w:sz w:val="44"/>
          <w:szCs w:val="44"/>
          <w:lang w:val="en-US"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val="en-US" w:eastAsia="zh-CN"/>
        </w:rPr>
        <w:t>医疗保障局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val="en-US" w:eastAsia="zh-CN"/>
        </w:rPr>
        <w:t>克州医疗保障局</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val="en-US" w:eastAsia="zh-CN"/>
        </w:rPr>
        <w:t>克州医疗保障局2020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ind w:firstLine="643" w:firstLineChars="200"/>
        <w:outlineLvl w:val="1"/>
        <w:rPr>
          <w:rFonts w:hint="eastAsia" w:ascii="仿宋_GB2312" w:hAnsi="宋体" w:eastAsia="仿宋_GB2312"/>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val="en-US" w:eastAsia="zh-CN"/>
        </w:rPr>
        <w:t>克州医疗保障局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hint="eastAsia" w:ascii="仿宋_GB2312" w:hAnsi="仿宋_GB2312" w:eastAsia="仿宋_GB2312" w:cs="仿宋_GB2312"/>
          <w:bCs/>
          <w:kern w:val="0"/>
          <w:sz w:val="32"/>
          <w:szCs w:val="32"/>
          <w:lang w:eastAsia="zh-CN"/>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一）贯彻实施国家、自治区医疗保险、生育保险、医疗救助等医疗保障制度，拟订自治州医疗保险、生育保险、医疗救助等医疗保障制度的政策、规划、标准并组织实施；拟订人身意外伤害保险、大额医疗救助、公务员医疗补助、企事业单位补充医疗保险、离退休人员和优抚对象医疗保障等政策、管理办法并组织实施；拟订并组织实施自治州本级医疗保险、生育保险等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（二）组织实施医疗保障基金监督管理办法，建立健全医疗保障基金安全防控机制，承担推进医疗保障基金支付方式改革工作，编制自治州医疗保障基金预决算草案。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三）组织拟订自治州医疗保障筹资和待遇政策，完善动态调整和区域调剂平衡机制，统筹城乡医疗保障待遇标准，建立健全与筹资水平相适应的待遇调整机制。拟订贯彻长期护理保险制度改革的方案并组织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四）组织拟订药品、医用耗材、医疗服务项目、医疗服务设施收费等政策并监督实施，拟订药品、医用耗材的招标采购政策并监督实施，建立医保支付医药服务价格合理确定和动态调整机制，建立市场主导的社会医药服务价格形成机制，建立医药服务价格信息监测和信息发布制度，指导药品、医用耗材招标采购平台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（五）组织制定自治州药品、医用耗材、医疗服务项目、医疗服务设施等医保目录和支付标准，建立动态调整机制。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六）制定定点医药机构协议和支付管理办法并组织实施，建立健全医疗保障信用评价体系和信息披露制度，监督管理纳入医保范围内的医疗服务行为和医疗费用，依法查处医疗保障、生育保险领域违法违规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七）负责医疗保障经办管理、公共服务体系和信息化建设，贯彻落实国家跨省异地就医及费用结算政策，组织制定疆内异地就医和费用结算政策。组织实施异地就医管理和费用结算政策，建立健全医疗保障关系转移接续制度。指导医疗保障经办机构开展业务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（八）按照“管行业必须管安全、管业务必须管安全”的要求，对本行业领域安全生产负行业监管（行业主管）职责，组织开展本行业领域安全生产宣传教育、日常监督检查工作。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（九）完成自治州党委、自治州人民政府交办的其他任务。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十）职能转变。自治州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（十一）与自治州卫生健康委员会的有关职责分工。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 xml:space="preserve">自治州卫生健康委员会、自治州医疗保障局等部门在医疗、医保、医药等方面加强制度、政策衔接，建立沟通协商机制，协同推进改革，提高医疗资源使用效率和医疗保障水平。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val="en-US" w:eastAsia="zh-CN"/>
        </w:rPr>
        <w:t>克州医疗保障局</w:t>
      </w:r>
      <w:r>
        <w:rPr>
          <w:rFonts w:hint="eastAsia" w:ascii="仿宋_GB2312" w:hAnsi="黑体" w:eastAsia="仿宋_GB2312" w:cs="宋体"/>
          <w:bCs/>
          <w:kern w:val="0"/>
          <w:sz w:val="32"/>
          <w:szCs w:val="32"/>
        </w:rPr>
        <w:t>单位无下属预算单位，下设</w:t>
      </w:r>
      <w:r>
        <w:rPr>
          <w:rFonts w:hint="eastAsia" w:ascii="仿宋_GB2312" w:hAnsi="黑体" w:eastAsia="仿宋_GB2312" w:cs="宋体"/>
          <w:bCs/>
          <w:kern w:val="0"/>
          <w:sz w:val="32"/>
          <w:szCs w:val="32"/>
          <w:lang w:val="en-US" w:eastAsia="zh-CN"/>
        </w:rPr>
        <w:t>2</w:t>
      </w:r>
      <w:r>
        <w:rPr>
          <w:rFonts w:hint="eastAsia" w:ascii="仿宋_GB2312" w:hAnsi="黑体" w:eastAsia="仿宋_GB2312" w:cs="宋体"/>
          <w:bCs/>
          <w:kern w:val="0"/>
          <w:sz w:val="32"/>
          <w:szCs w:val="32"/>
        </w:rPr>
        <w:t>个</w:t>
      </w:r>
      <w:r>
        <w:rPr>
          <w:rFonts w:hint="eastAsia" w:ascii="仿宋_GB2312" w:hAnsi="黑体" w:eastAsia="仿宋_GB2312" w:cs="宋体"/>
          <w:bCs/>
          <w:kern w:val="0"/>
          <w:sz w:val="32"/>
          <w:szCs w:val="32"/>
          <w:lang w:eastAsia="zh-CN"/>
        </w:rPr>
        <w:t>科室</w:t>
      </w:r>
      <w:r>
        <w:rPr>
          <w:rFonts w:hint="eastAsia" w:ascii="仿宋_GB2312" w:hAnsi="黑体" w:eastAsia="仿宋_GB2312" w:cs="宋体"/>
          <w:bCs/>
          <w:kern w:val="0"/>
          <w:sz w:val="32"/>
          <w:szCs w:val="32"/>
        </w:rPr>
        <w:t>，分别是：</w:t>
      </w:r>
      <w:r>
        <w:rPr>
          <w:rFonts w:hint="eastAsia" w:ascii="仿宋_GB2312" w:hAnsi="宋体" w:eastAsia="仿宋_GB2312" w:cs="宋体"/>
          <w:kern w:val="0"/>
          <w:sz w:val="32"/>
          <w:szCs w:val="32"/>
          <w:lang w:val="en-US" w:eastAsia="zh-CN"/>
        </w:rPr>
        <w:t>办公室、基金医药监管科</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val="en-US" w:eastAsia="zh-CN"/>
        </w:rPr>
        <w:t>克州医疗保障局</w:t>
      </w:r>
      <w:r>
        <w:rPr>
          <w:rFonts w:hint="eastAsia" w:ascii="仿宋_GB2312" w:hAnsi="宋体" w:eastAsia="仿宋_GB2312" w:cs="宋体"/>
          <w:kern w:val="0"/>
          <w:sz w:val="32"/>
          <w:szCs w:val="32"/>
        </w:rPr>
        <w:t>单位编制数</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人；离休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仿宋_GB2312" w:hAnsi="宋体" w:eastAsia="仿宋_GB2312"/>
          <w:b/>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黑体" w:eastAsia="仿宋_GB2312" w:cs="宋体"/>
          <w:bCs/>
          <w:kern w:val="0"/>
          <w:sz w:val="24"/>
          <w:szCs w:val="24"/>
          <w:lang w:val="en-US" w:eastAsia="zh-CN"/>
        </w:rPr>
        <w:t>克州医疗保障局</w:t>
      </w:r>
      <w:r>
        <w:rPr>
          <w:rFonts w:hint="eastAsia" w:ascii="仿宋_GB2312" w:hAnsi="宋体" w:eastAsia="仿宋_GB2312"/>
          <w:kern w:val="0"/>
          <w:sz w:val="24"/>
          <w:szCs w:val="24"/>
        </w:rPr>
        <w:t xml:space="preserve"> </w:t>
      </w:r>
      <w:r>
        <w:rPr>
          <w:rFonts w:hint="eastAsia" w:ascii="仿宋_GB2312" w:hAnsi="宋体" w:eastAsia="仿宋_GB2312"/>
          <w:kern w:val="0"/>
          <w:sz w:val="24"/>
        </w:rPr>
        <w:t xml:space="preserve">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210.62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210.62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562.22</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980.84</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872.84</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108</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980.84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980.84</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黑体" w:eastAsia="仿宋_GB2312" w:cs="宋体"/>
          <w:bCs/>
          <w:kern w:val="0"/>
          <w:sz w:val="24"/>
          <w:szCs w:val="24"/>
          <w:lang w:val="en-US" w:eastAsia="zh-CN"/>
        </w:rPr>
        <w:t>克州医疗保障局</w:t>
      </w:r>
      <w:r>
        <w:rPr>
          <w:rFonts w:hint="eastAsia" w:ascii="仿宋_GB2312" w:hAnsi="宋体" w:eastAsia="仿宋_GB2312"/>
          <w:kern w:val="0"/>
          <w:sz w:val="24"/>
        </w:rPr>
        <w:t xml:space="preserve">                                    单位：万元</w:t>
      </w:r>
    </w:p>
    <w:tbl>
      <w:tblPr>
        <w:tblStyle w:val="10"/>
        <w:tblW w:w="11014" w:type="dxa"/>
        <w:tblInd w:w="-450" w:type="dxa"/>
        <w:tblLayout w:type="fixed"/>
        <w:tblCellMar>
          <w:top w:w="0" w:type="dxa"/>
          <w:left w:w="108" w:type="dxa"/>
          <w:bottom w:w="0" w:type="dxa"/>
          <w:right w:w="108" w:type="dxa"/>
        </w:tblCellMar>
      </w:tblPr>
      <w:tblGrid>
        <w:gridCol w:w="417"/>
        <w:gridCol w:w="417"/>
        <w:gridCol w:w="417"/>
        <w:gridCol w:w="1330"/>
        <w:gridCol w:w="820"/>
        <w:gridCol w:w="680"/>
        <w:gridCol w:w="680"/>
        <w:gridCol w:w="680"/>
        <w:gridCol w:w="680"/>
        <w:gridCol w:w="555"/>
        <w:gridCol w:w="767"/>
        <w:gridCol w:w="709"/>
        <w:gridCol w:w="417"/>
        <w:gridCol w:w="1043"/>
        <w:gridCol w:w="1402"/>
      </w:tblGrid>
      <w:tr>
        <w:tblPrEx>
          <w:tblLayout w:type="fixed"/>
          <w:tblCellMar>
            <w:top w:w="0" w:type="dxa"/>
            <w:left w:w="108" w:type="dxa"/>
            <w:bottom w:w="0" w:type="dxa"/>
            <w:right w:w="108" w:type="dxa"/>
          </w:tblCellMar>
        </w:tblPrEx>
        <w:trPr>
          <w:trHeight w:val="668"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3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55"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1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1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33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55"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1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10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4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210</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13</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其他医疗救助支出</w:t>
            </w: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980.84</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210.62</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shd w:val="clear" w:color="000000" w:fill="FFFFFF"/>
          </w:tcPr>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562.22</w:t>
            </w:r>
          </w:p>
        </w:tc>
        <w:tc>
          <w:tcPr>
            <w:tcW w:w="767"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shd w:val="clear" w:color="000000" w:fill="FFFFFF"/>
          </w:tcPr>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100</w:t>
            </w:r>
          </w:p>
        </w:tc>
        <w:tc>
          <w:tcPr>
            <w:tcW w:w="10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108</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980.84</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210.62</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562.22</w:t>
            </w: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100</w:t>
            </w: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r>
              <w:rPr>
                <w:rFonts w:hint="eastAsia" w:ascii="仿宋_GB2312" w:hAnsi="宋体" w:eastAsia="仿宋_GB2312" w:cs="宋体"/>
                <w:color w:val="000000"/>
                <w:sz w:val="20"/>
                <w:szCs w:val="20"/>
                <w:lang w:val="en-US" w:eastAsia="zh-CN"/>
              </w:rPr>
              <w:t>108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黑体" w:eastAsia="仿宋_GB2312" w:cs="宋体"/>
          <w:bCs/>
          <w:kern w:val="0"/>
          <w:sz w:val="24"/>
          <w:szCs w:val="24"/>
          <w:lang w:val="en-US" w:eastAsia="zh-CN"/>
        </w:rPr>
        <w:t>克州医疗保障局</w:t>
      </w:r>
      <w:r>
        <w:rPr>
          <w:rFonts w:hint="eastAsia" w:ascii="仿宋_GB2312" w:hAnsi="宋体" w:eastAsia="仿宋_GB2312"/>
          <w:kern w:val="0"/>
          <w:sz w:val="24"/>
        </w:rPr>
        <w:t xml:space="preserve">                                      单位：万元</w:t>
      </w:r>
    </w:p>
    <w:tbl>
      <w:tblPr>
        <w:tblStyle w:val="10"/>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其他医疗保障管理事务支出</w:t>
            </w:r>
            <w:r>
              <w:rPr>
                <w:rFonts w:hint="eastAsia" w:ascii="宋体" w:hAnsi="宋体" w:cs="宋体"/>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13</w:t>
            </w:r>
            <w:r>
              <w:rPr>
                <w:rFonts w:hint="eastAsia" w:ascii="宋体" w:hAnsi="宋体" w:cs="宋体"/>
                <w:b/>
                <w:bCs/>
                <w:color w:val="000000"/>
                <w:kern w:val="0"/>
                <w:sz w:val="18"/>
                <w:szCs w:val="18"/>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r>
              <w:rPr>
                <w:rFonts w:hint="eastAsia" w:ascii="宋体" w:hAnsi="宋体" w:cs="宋体"/>
                <w:b/>
                <w:bCs/>
                <w:color w:val="000000"/>
                <w:kern w:val="0"/>
                <w:sz w:val="18"/>
                <w:szCs w:val="18"/>
                <w:lang w:val="en-US" w:eastAsia="zh-CN"/>
              </w:rPr>
              <w:t>13</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行政运行</w:t>
            </w:r>
            <w:r>
              <w:rPr>
                <w:rFonts w:hint="eastAsia" w:ascii="宋体" w:hAnsi="宋体" w:cs="宋体"/>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917.85</w:t>
            </w:r>
            <w:r>
              <w:rPr>
                <w:rFonts w:hint="eastAsia" w:ascii="宋体" w:hAnsi="宋体" w:cs="宋体"/>
                <w:b/>
                <w:bCs/>
                <w:color w:val="000000"/>
                <w:kern w:val="0"/>
                <w:sz w:val="18"/>
                <w:szCs w:val="18"/>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917.85</w:t>
            </w:r>
            <w:r>
              <w:rPr>
                <w:rFonts w:hint="eastAsia" w:ascii="宋体" w:hAnsi="宋体" w:cs="宋体"/>
                <w:b/>
                <w:bCs/>
                <w:color w:val="000000"/>
                <w:kern w:val="0"/>
                <w:sz w:val="18"/>
                <w:szCs w:val="18"/>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其他医疗救助支出</w:t>
            </w:r>
            <w:r>
              <w:rPr>
                <w:rFonts w:hint="eastAsia" w:ascii="宋体" w:hAnsi="宋体" w:cs="宋体"/>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r>
              <w:rPr>
                <w:rFonts w:hint="eastAsia" w:ascii="宋体" w:hAnsi="宋体" w:cs="宋体"/>
                <w:b/>
                <w:bCs/>
                <w:color w:val="000000"/>
                <w:kern w:val="0"/>
                <w:sz w:val="18"/>
                <w:szCs w:val="18"/>
                <w:lang w:val="en-US" w:eastAsia="zh-CN"/>
              </w:rPr>
              <w:t>49.99</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19.99</w:t>
            </w:r>
            <w:r>
              <w:rPr>
                <w:rFonts w:hint="eastAsia" w:ascii="宋体" w:hAnsi="宋体" w:cs="宋体"/>
                <w:b/>
                <w:bCs/>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980.84</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917.85</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62.99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 xml:space="preserve">编制部门：  </w:t>
      </w:r>
      <w:r>
        <w:rPr>
          <w:rFonts w:hint="eastAsia" w:ascii="仿宋_GB2312" w:hAnsi="黑体" w:eastAsia="仿宋_GB2312" w:cs="宋体"/>
          <w:bCs/>
          <w:kern w:val="0"/>
          <w:sz w:val="24"/>
          <w:szCs w:val="24"/>
          <w:lang w:val="en-US" w:eastAsia="zh-CN"/>
        </w:rPr>
        <w:t>克州医疗保障局</w:t>
      </w:r>
      <w:r>
        <w:rPr>
          <w:rFonts w:hint="eastAsia" w:ascii="仿宋_GB2312" w:hAnsi="宋体" w:eastAsia="仿宋_GB2312"/>
          <w:kern w:val="0"/>
          <w:sz w:val="28"/>
          <w:szCs w:val="28"/>
        </w:rPr>
        <w:t xml:space="preserve">                       单位：万元</w:t>
      </w:r>
    </w:p>
    <w:tbl>
      <w:tblPr>
        <w:tblStyle w:val="10"/>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210.62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210.62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210.62</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210.62</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210.62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210.62</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210.62</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黑体" w:eastAsia="仿宋_GB2312" w:cs="宋体"/>
                <w:bCs/>
                <w:kern w:val="0"/>
                <w:sz w:val="24"/>
                <w:szCs w:val="24"/>
                <w:lang w:val="en-US" w:eastAsia="zh-CN"/>
              </w:rPr>
              <w:t>克州医疗保障局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15</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　</w:t>
            </w:r>
            <w:r>
              <w:rPr>
                <w:rFonts w:hint="eastAsia" w:ascii="仿宋_GB2312" w:hAnsi="宋体" w:eastAsia="仿宋_GB2312" w:cs="宋体"/>
                <w:b w:val="0"/>
                <w:bCs/>
                <w:color w:val="000000"/>
                <w:kern w:val="0"/>
                <w:sz w:val="20"/>
                <w:szCs w:val="20"/>
                <w:lang w:val="en-US" w:eastAsia="zh-CN"/>
              </w:rPr>
              <w:t>147.63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　</w:t>
            </w:r>
            <w:r>
              <w:rPr>
                <w:rFonts w:hint="eastAsia" w:ascii="仿宋_GB2312" w:hAnsi="宋体" w:eastAsia="仿宋_GB2312" w:cs="宋体"/>
                <w:b w:val="0"/>
                <w:bCs/>
                <w:color w:val="000000"/>
                <w:kern w:val="0"/>
                <w:sz w:val="20"/>
                <w:szCs w:val="20"/>
                <w:lang w:val="en-US" w:eastAsia="zh-CN"/>
              </w:rPr>
              <w:t>147.63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其他医疗救助支出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　49.99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　49.99</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15</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其他医疗保障管理事务支出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13</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210.62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147.63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62.99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黑体" w:eastAsia="仿宋_GB2312" w:cs="宋体"/>
                <w:bCs/>
                <w:kern w:val="0"/>
                <w:sz w:val="24"/>
                <w:szCs w:val="24"/>
                <w:lang w:val="en-US" w:eastAsia="zh-CN"/>
              </w:rPr>
              <w:t>克州医疗保障局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20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09"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15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30231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公务用车维护费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30309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0.01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0.01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15.43</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15.43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20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48.52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48.52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30112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7.37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7.37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30103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4.04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4.04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98"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30228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0.68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0.68</w:t>
            </w:r>
          </w:p>
        </w:tc>
      </w:tr>
      <w:tr>
        <w:tblPrEx>
          <w:tblLayout w:type="fixed"/>
          <w:tblCellMar>
            <w:top w:w="0" w:type="dxa"/>
            <w:left w:w="108" w:type="dxa"/>
            <w:bottom w:w="0" w:type="dxa"/>
            <w:right w:w="108" w:type="dxa"/>
          </w:tblCellMar>
        </w:tblPrEx>
        <w:trPr>
          <w:trHeight w:val="25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30217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30102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53.82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53.82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30113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10.54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30229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1.22</w:t>
            </w:r>
          </w:p>
        </w:tc>
      </w:tr>
      <w:tr>
        <w:tblPrEx>
          <w:tblLayout w:type="fixed"/>
          <w:tblCellMar>
            <w:top w:w="0" w:type="dxa"/>
            <w:left w:w="108" w:type="dxa"/>
            <w:bottom w:w="0" w:type="dxa"/>
            <w:right w:w="108" w:type="dxa"/>
          </w:tblCellMar>
        </w:tblPrEx>
        <w:trPr>
          <w:trHeight w:val="16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69"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8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2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6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6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8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0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1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4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147.63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139.74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7.89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540" w:type="dxa"/>
        <w:tblInd w:w="-360" w:type="dxa"/>
        <w:tblLayout w:type="fixed"/>
        <w:tblCellMar>
          <w:top w:w="0" w:type="dxa"/>
          <w:left w:w="108" w:type="dxa"/>
          <w:bottom w:w="0" w:type="dxa"/>
          <w:right w:w="108" w:type="dxa"/>
        </w:tblCellMar>
      </w:tblPr>
      <w:tblGrid>
        <w:gridCol w:w="8"/>
        <w:gridCol w:w="389"/>
        <w:gridCol w:w="397"/>
        <w:gridCol w:w="439"/>
        <w:gridCol w:w="1530"/>
        <w:gridCol w:w="1595"/>
        <w:gridCol w:w="595"/>
        <w:gridCol w:w="285"/>
        <w:gridCol w:w="615"/>
        <w:gridCol w:w="375"/>
        <w:gridCol w:w="429"/>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黑体" w:eastAsia="仿宋_GB2312" w:cs="宋体"/>
                <w:bCs/>
                <w:kern w:val="0"/>
                <w:sz w:val="24"/>
                <w:szCs w:val="24"/>
                <w:lang w:val="en-US" w:eastAsia="zh-CN"/>
              </w:rPr>
              <w:t>克州医疗保障局</w:t>
            </w:r>
          </w:p>
        </w:tc>
        <w:tc>
          <w:tcPr>
            <w:tcW w:w="1495"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1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33"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53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595"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59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28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1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7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2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9"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530"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59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9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8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1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7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210</w:t>
            </w: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13</w:t>
            </w: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99</w:t>
            </w: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其他医疗救助支出</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医疗救助经办服务费</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49.99</w:t>
            </w: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49.99</w:t>
            </w: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210</w:t>
            </w: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15</w:t>
            </w:r>
            <w:r>
              <w:rPr>
                <w:rFonts w:hint="eastAsia" w:ascii="仿宋_GB2312" w:hAnsi="宋体" w:eastAsia="仿宋_GB2312"/>
                <w:kern w:val="0"/>
                <w:sz w:val="18"/>
                <w:szCs w:val="18"/>
              </w:rPr>
              <w:t>　</w:t>
            </w:r>
          </w:p>
        </w:tc>
        <w:tc>
          <w:tcPr>
            <w:tcW w:w="43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99</w:t>
            </w:r>
          </w:p>
        </w:tc>
        <w:tc>
          <w:tcPr>
            <w:tcW w:w="153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其他医疗保障管理事务支出</w:t>
            </w:r>
            <w:r>
              <w:rPr>
                <w:rFonts w:hint="eastAsia" w:ascii="仿宋_GB2312" w:hAnsi="宋体" w:eastAsia="仿宋_GB2312"/>
                <w:kern w:val="0"/>
                <w:sz w:val="18"/>
                <w:szCs w:val="18"/>
              </w:rPr>
              <w:t>　</w:t>
            </w:r>
          </w:p>
        </w:tc>
        <w:tc>
          <w:tcPr>
            <w:tcW w:w="159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线路租赁费</w:t>
            </w:r>
          </w:p>
        </w:tc>
        <w:tc>
          <w:tcPr>
            <w:tcW w:w="59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2</w:t>
            </w:r>
          </w:p>
        </w:tc>
        <w:tc>
          <w:tcPr>
            <w:tcW w:w="28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1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w:t>
            </w:r>
            <w:r>
              <w:rPr>
                <w:rFonts w:hint="eastAsia" w:ascii="仿宋_GB2312" w:hAnsi="宋体" w:eastAsia="仿宋_GB2312"/>
                <w:kern w:val="0"/>
                <w:sz w:val="18"/>
                <w:szCs w:val="18"/>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210</w:t>
            </w: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15</w:t>
            </w:r>
            <w:r>
              <w:rPr>
                <w:rFonts w:hint="eastAsia" w:ascii="仿宋_GB2312" w:hAnsi="宋体" w:eastAsia="仿宋_GB2312"/>
                <w:kern w:val="0"/>
                <w:sz w:val="18"/>
                <w:szCs w:val="18"/>
              </w:rPr>
              <w:t>　</w:t>
            </w:r>
          </w:p>
        </w:tc>
        <w:tc>
          <w:tcPr>
            <w:tcW w:w="43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99</w:t>
            </w:r>
            <w:r>
              <w:rPr>
                <w:rFonts w:hint="eastAsia" w:ascii="仿宋_GB2312" w:hAnsi="宋体" w:eastAsia="仿宋_GB2312"/>
                <w:kern w:val="0"/>
                <w:sz w:val="18"/>
                <w:szCs w:val="18"/>
              </w:rPr>
              <w:t>　</w:t>
            </w:r>
          </w:p>
        </w:tc>
        <w:tc>
          <w:tcPr>
            <w:tcW w:w="153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其他医疗保障管理事务支出</w:t>
            </w:r>
            <w:r>
              <w:rPr>
                <w:rFonts w:hint="eastAsia" w:ascii="仿宋_GB2312" w:hAnsi="宋体" w:eastAsia="仿宋_GB2312"/>
                <w:kern w:val="0"/>
                <w:sz w:val="18"/>
                <w:szCs w:val="18"/>
              </w:rPr>
              <w:t>　　</w:t>
            </w:r>
          </w:p>
        </w:tc>
        <w:tc>
          <w:tcPr>
            <w:tcW w:w="159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医保宣传费</w:t>
            </w:r>
          </w:p>
        </w:tc>
        <w:tc>
          <w:tcPr>
            <w:tcW w:w="59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6</w:t>
            </w:r>
            <w:r>
              <w:rPr>
                <w:rFonts w:hint="eastAsia" w:ascii="仿宋_GB2312" w:hAnsi="宋体" w:eastAsia="仿宋_GB2312"/>
                <w:kern w:val="0"/>
                <w:sz w:val="18"/>
                <w:szCs w:val="18"/>
              </w:rPr>
              <w:t>　</w:t>
            </w:r>
          </w:p>
        </w:tc>
        <w:tc>
          <w:tcPr>
            <w:tcW w:w="28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1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6</w:t>
            </w:r>
            <w:r>
              <w:rPr>
                <w:rFonts w:hint="eastAsia" w:ascii="仿宋_GB2312" w:hAnsi="宋体" w:eastAsia="仿宋_GB2312"/>
                <w:kern w:val="0"/>
                <w:sz w:val="18"/>
                <w:szCs w:val="18"/>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vAlign w:val="top"/>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210</w:t>
            </w:r>
            <w:r>
              <w:rPr>
                <w:rFonts w:hint="eastAsia" w:ascii="仿宋_GB2312" w:hAnsi="宋体" w:eastAsia="仿宋_GB2312"/>
                <w:kern w:val="0"/>
                <w:sz w:val="18"/>
                <w:szCs w:val="18"/>
              </w:rPr>
              <w:t>　</w:t>
            </w:r>
          </w:p>
        </w:tc>
        <w:tc>
          <w:tcPr>
            <w:tcW w:w="397" w:type="dxa"/>
            <w:shd w:val="clear" w:color="auto" w:fill="auto"/>
            <w:vAlign w:val="top"/>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15</w:t>
            </w:r>
            <w:r>
              <w:rPr>
                <w:rFonts w:hint="eastAsia" w:ascii="仿宋_GB2312" w:hAnsi="宋体" w:eastAsia="仿宋_GB2312"/>
                <w:kern w:val="0"/>
                <w:sz w:val="18"/>
                <w:szCs w:val="18"/>
              </w:rPr>
              <w:t>　</w:t>
            </w:r>
          </w:p>
        </w:tc>
        <w:tc>
          <w:tcPr>
            <w:tcW w:w="439" w:type="dxa"/>
            <w:shd w:val="clear" w:color="auto" w:fill="auto"/>
            <w:vAlign w:val="top"/>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99</w:t>
            </w:r>
            <w:r>
              <w:rPr>
                <w:rFonts w:hint="eastAsia" w:ascii="仿宋_GB2312" w:hAnsi="宋体" w:eastAsia="仿宋_GB2312"/>
                <w:kern w:val="0"/>
                <w:sz w:val="18"/>
                <w:szCs w:val="18"/>
              </w:rPr>
              <w:t>　</w:t>
            </w:r>
          </w:p>
        </w:tc>
        <w:tc>
          <w:tcPr>
            <w:tcW w:w="153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其他医疗保障管理事务支出</w:t>
            </w:r>
            <w:r>
              <w:rPr>
                <w:rFonts w:hint="eastAsia" w:ascii="仿宋_GB2312" w:hAnsi="宋体" w:eastAsia="仿宋_GB2312"/>
                <w:kern w:val="0"/>
                <w:sz w:val="18"/>
                <w:szCs w:val="18"/>
              </w:rPr>
              <w:t>　</w:t>
            </w:r>
          </w:p>
        </w:tc>
        <w:tc>
          <w:tcPr>
            <w:tcW w:w="159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医保基金业务经办费</w:t>
            </w:r>
            <w:r>
              <w:rPr>
                <w:rFonts w:hint="eastAsia" w:ascii="仿宋_GB2312" w:hAnsi="宋体" w:eastAsia="仿宋_GB2312"/>
                <w:kern w:val="0"/>
                <w:sz w:val="18"/>
                <w:szCs w:val="18"/>
              </w:rPr>
              <w:t>　</w:t>
            </w:r>
          </w:p>
        </w:tc>
        <w:tc>
          <w:tcPr>
            <w:tcW w:w="59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5</w:t>
            </w:r>
          </w:p>
        </w:tc>
        <w:tc>
          <w:tcPr>
            <w:tcW w:w="28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1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5</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439" w:type="dxa"/>
            <w:shd w:val="clear" w:color="auto" w:fill="auto"/>
          </w:tcPr>
          <w:p>
            <w:pPr>
              <w:widowControl/>
              <w:jc w:val="left"/>
              <w:outlineLvl w:val="1"/>
              <w:rPr>
                <w:rFonts w:ascii="仿宋_GB2312" w:hAnsi="宋体" w:eastAsia="仿宋_GB2312"/>
                <w:kern w:val="0"/>
                <w:sz w:val="32"/>
                <w:szCs w:val="32"/>
              </w:rPr>
            </w:pPr>
          </w:p>
        </w:tc>
        <w:tc>
          <w:tcPr>
            <w:tcW w:w="1530" w:type="dxa"/>
            <w:shd w:val="clear" w:color="auto" w:fill="auto"/>
          </w:tcPr>
          <w:p>
            <w:pPr>
              <w:widowControl/>
              <w:jc w:val="left"/>
              <w:outlineLvl w:val="1"/>
              <w:rPr>
                <w:rFonts w:ascii="仿宋_GB2312" w:hAnsi="宋体" w:eastAsia="仿宋_GB2312"/>
                <w:kern w:val="0"/>
                <w:sz w:val="32"/>
                <w:szCs w:val="32"/>
              </w:rPr>
            </w:pPr>
          </w:p>
        </w:tc>
        <w:tc>
          <w:tcPr>
            <w:tcW w:w="1595" w:type="dxa"/>
            <w:shd w:val="clear" w:color="auto" w:fill="auto"/>
          </w:tcPr>
          <w:p>
            <w:pPr>
              <w:widowControl/>
              <w:jc w:val="left"/>
              <w:outlineLvl w:val="1"/>
              <w:rPr>
                <w:rFonts w:ascii="仿宋_GB2312" w:hAnsi="宋体" w:eastAsia="仿宋_GB2312"/>
                <w:kern w:val="0"/>
                <w:sz w:val="32"/>
                <w:szCs w:val="32"/>
              </w:rPr>
            </w:pPr>
          </w:p>
        </w:tc>
        <w:tc>
          <w:tcPr>
            <w:tcW w:w="595" w:type="dxa"/>
            <w:shd w:val="clear" w:color="auto" w:fill="auto"/>
          </w:tcPr>
          <w:p>
            <w:pPr>
              <w:widowControl/>
              <w:jc w:val="left"/>
              <w:outlineLvl w:val="1"/>
              <w:rPr>
                <w:rFonts w:ascii="仿宋_GB2312" w:hAnsi="宋体" w:eastAsia="仿宋_GB2312"/>
                <w:kern w:val="0"/>
                <w:sz w:val="32"/>
                <w:szCs w:val="32"/>
              </w:rPr>
            </w:pPr>
          </w:p>
        </w:tc>
        <w:tc>
          <w:tcPr>
            <w:tcW w:w="285" w:type="dxa"/>
            <w:shd w:val="clear" w:color="auto" w:fill="auto"/>
          </w:tcPr>
          <w:p>
            <w:pPr>
              <w:widowControl/>
              <w:jc w:val="left"/>
              <w:outlineLvl w:val="1"/>
              <w:rPr>
                <w:rFonts w:ascii="仿宋_GB2312" w:hAnsi="宋体" w:eastAsia="仿宋_GB2312"/>
                <w:kern w:val="0"/>
                <w:sz w:val="32"/>
                <w:szCs w:val="32"/>
              </w:rPr>
            </w:pPr>
          </w:p>
        </w:tc>
        <w:tc>
          <w:tcPr>
            <w:tcW w:w="615" w:type="dxa"/>
            <w:shd w:val="clear" w:color="auto" w:fill="auto"/>
          </w:tcPr>
          <w:p>
            <w:pPr>
              <w:widowControl/>
              <w:jc w:val="left"/>
              <w:outlineLvl w:val="1"/>
              <w:rPr>
                <w:rFonts w:ascii="仿宋_GB2312" w:hAnsi="宋体" w:eastAsia="仿宋_GB2312"/>
                <w:kern w:val="0"/>
                <w:sz w:val="32"/>
                <w:szCs w:val="32"/>
              </w:rPr>
            </w:pPr>
          </w:p>
        </w:tc>
        <w:tc>
          <w:tcPr>
            <w:tcW w:w="375" w:type="dxa"/>
            <w:shd w:val="clear" w:color="auto" w:fill="auto"/>
          </w:tcPr>
          <w:p>
            <w:pPr>
              <w:widowControl/>
              <w:jc w:val="left"/>
              <w:outlineLvl w:val="1"/>
              <w:rPr>
                <w:rFonts w:ascii="仿宋_GB2312" w:hAnsi="宋体" w:eastAsia="仿宋_GB2312"/>
                <w:kern w:val="0"/>
                <w:sz w:val="32"/>
                <w:szCs w:val="32"/>
              </w:rPr>
            </w:pPr>
          </w:p>
        </w:tc>
        <w:tc>
          <w:tcPr>
            <w:tcW w:w="429"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95"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595"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62.99</w:t>
            </w:r>
          </w:p>
        </w:tc>
        <w:tc>
          <w:tcPr>
            <w:tcW w:w="28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15"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62.99</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黑体" w:eastAsia="仿宋_GB2312" w:cs="宋体"/>
          <w:bCs/>
          <w:kern w:val="0"/>
          <w:sz w:val="24"/>
          <w:szCs w:val="24"/>
          <w:lang w:val="en-US" w:eastAsia="zh-CN"/>
        </w:rPr>
        <w:t>克州医疗保障局</w:t>
      </w:r>
      <w:r>
        <w:rPr>
          <w:rFonts w:hint="eastAsia" w:ascii="仿宋_GB2312" w:hAnsi="宋体" w:eastAsia="仿宋_GB2312"/>
          <w:kern w:val="0"/>
          <w:sz w:val="24"/>
        </w:rPr>
        <w:t xml:space="preserve">                                单位：万元</w:t>
      </w:r>
    </w:p>
    <w:tbl>
      <w:tblPr>
        <w:tblStyle w:val="10"/>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6</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4</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4</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2</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黑体" w:eastAsia="仿宋_GB2312" w:cs="宋体"/>
          <w:bCs/>
          <w:kern w:val="0"/>
          <w:sz w:val="24"/>
          <w:szCs w:val="24"/>
          <w:lang w:val="en-US" w:eastAsia="zh-CN"/>
        </w:rPr>
        <w:t>克州医疗保障局</w:t>
      </w:r>
      <w:r>
        <w:rPr>
          <w:rFonts w:hint="eastAsia" w:ascii="仿宋_GB2312" w:hAnsi="宋体" w:eastAsia="仿宋_GB2312"/>
          <w:kern w:val="0"/>
          <w:sz w:val="24"/>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kern w:val="0"/>
          <w:sz w:val="32"/>
          <w:szCs w:val="32"/>
        </w:rPr>
        <w:sectPr>
          <w:headerReference r:id="rId3" w:type="first"/>
          <w:footerReference r:id="rId6" w:type="first"/>
          <w:footerReference r:id="rId4" w:type="default"/>
          <w:footerReference r:id="rId5" w:type="even"/>
          <w:pgSz w:w="11906" w:h="16838"/>
          <w:pgMar w:top="2098" w:right="1418" w:bottom="1928" w:left="1588" w:header="851" w:footer="992" w:gutter="0"/>
          <w:pgNumType w:fmt="decimal"/>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val="en-US" w:eastAsia="zh-CN"/>
        </w:rPr>
        <w:t>克州医疗保障局2020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克州医疗保障局2020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980.84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210.62万元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上级补助</w:t>
      </w:r>
      <w:r>
        <w:rPr>
          <w:rFonts w:hint="eastAsia" w:ascii="仿宋_GB2312" w:hAnsi="宋体" w:eastAsia="仿宋_GB2312" w:cs="宋体"/>
          <w:kern w:val="0"/>
          <w:sz w:val="32"/>
          <w:szCs w:val="32"/>
        </w:rPr>
        <w:t>收入</w:t>
      </w:r>
      <w:r>
        <w:rPr>
          <w:rFonts w:hint="eastAsia" w:ascii="仿宋_GB2312" w:hAnsi="宋体" w:eastAsia="仿宋_GB2312" w:cs="宋体"/>
          <w:kern w:val="0"/>
          <w:sz w:val="32"/>
          <w:szCs w:val="32"/>
          <w:lang w:val="en-US" w:eastAsia="zh-CN"/>
        </w:rPr>
        <w:t>562.22万元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上级专项</w:t>
      </w:r>
      <w:r>
        <w:rPr>
          <w:rFonts w:hint="eastAsia" w:ascii="仿宋_GB2312" w:hAnsi="宋体" w:eastAsia="仿宋_GB2312" w:cs="宋体"/>
          <w:kern w:val="0"/>
          <w:sz w:val="32"/>
          <w:szCs w:val="32"/>
        </w:rPr>
        <w:t>收入</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108万元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980.84万元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val="en-US" w:eastAsia="zh-CN"/>
        </w:rPr>
        <w:t>克州医疗保障局2020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克州医疗保障局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980.84</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210.62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 xml:space="preserve">%，比上年增加   </w:t>
      </w:r>
      <w:r>
        <w:rPr>
          <w:rFonts w:hint="eastAsia" w:ascii="仿宋_GB2312" w:hAnsi="宋体" w:eastAsia="仿宋_GB2312" w:cs="宋体"/>
          <w:kern w:val="0"/>
          <w:sz w:val="32"/>
          <w:szCs w:val="32"/>
          <w:lang w:val="en-US" w:eastAsia="zh-CN"/>
        </w:rPr>
        <w:t>210.62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单位是2019年3月份新设立的没有编制上年预算。</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上级补助</w:t>
      </w:r>
      <w:r>
        <w:rPr>
          <w:rFonts w:hint="eastAsia" w:ascii="仿宋_GB2312" w:hAnsi="宋体" w:eastAsia="仿宋_GB2312" w:cs="宋体"/>
          <w:kern w:val="0"/>
          <w:sz w:val="32"/>
          <w:szCs w:val="32"/>
        </w:rPr>
        <w:t>收入</w:t>
      </w:r>
      <w:r>
        <w:rPr>
          <w:rFonts w:hint="eastAsia" w:ascii="仿宋_GB2312" w:hAnsi="宋体" w:eastAsia="仿宋_GB2312" w:cs="宋体"/>
          <w:kern w:val="0"/>
          <w:sz w:val="32"/>
          <w:szCs w:val="32"/>
          <w:lang w:val="en-US" w:eastAsia="zh-CN"/>
        </w:rPr>
        <w:t>562.22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57</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562.22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单位是2019年3月份新设立的没有编制上年预算。</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上级专项</w:t>
      </w:r>
      <w:r>
        <w:rPr>
          <w:rFonts w:hint="eastAsia" w:ascii="仿宋_GB2312" w:hAnsi="宋体" w:eastAsia="仿宋_GB2312" w:cs="宋体"/>
          <w:kern w:val="0"/>
          <w:sz w:val="32"/>
          <w:szCs w:val="32"/>
        </w:rPr>
        <w:t>收入</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单位是2019年3月份新设立的没有编制上年预算。</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108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108</w:t>
      </w:r>
      <w:r>
        <w:rPr>
          <w:rFonts w:hint="eastAsia" w:ascii="仿宋_GB2312" w:hAnsi="宋体" w:eastAsia="仿宋_GB2312" w:cs="宋体"/>
          <w:kern w:val="0"/>
          <w:sz w:val="32"/>
          <w:szCs w:val="32"/>
        </w:rPr>
        <w:t>万元，主要原是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单位是2019年3月份新设立的没有编制上年预算。</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val="en-US" w:eastAsia="zh-CN"/>
        </w:rPr>
        <w:t>克州医疗保障局2020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克州医疗保障局2020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980.84</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基本支出</w:t>
      </w:r>
      <w:r>
        <w:rPr>
          <w:rFonts w:hint="eastAsia" w:ascii="仿宋_GB2312" w:hAnsi="宋体" w:eastAsia="仿宋_GB2312" w:cs="宋体"/>
          <w:kern w:val="0"/>
          <w:sz w:val="32"/>
          <w:szCs w:val="32"/>
          <w:highlight w:val="none"/>
          <w:lang w:val="en-US" w:eastAsia="zh-CN"/>
        </w:rPr>
        <w:t>917.85</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94</w:t>
      </w:r>
      <w:r>
        <w:rPr>
          <w:rFonts w:hint="eastAsia" w:ascii="仿宋_GB2312" w:hAnsi="宋体" w:eastAsia="仿宋_GB2312" w:cs="宋体"/>
          <w:kern w:val="0"/>
          <w:sz w:val="32"/>
          <w:szCs w:val="32"/>
          <w:highlight w:val="none"/>
        </w:rPr>
        <w:t>%，比上年增加</w:t>
      </w:r>
      <w:r>
        <w:rPr>
          <w:rFonts w:hint="eastAsia" w:ascii="仿宋_GB2312" w:hAnsi="宋体" w:eastAsia="仿宋_GB2312" w:cs="宋体"/>
          <w:kern w:val="0"/>
          <w:sz w:val="32"/>
          <w:szCs w:val="32"/>
          <w:highlight w:val="none"/>
          <w:lang w:val="en-US" w:eastAsia="zh-CN"/>
        </w:rPr>
        <w:t>917.85</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单位是2019年3月份新设立的没有编制上年预算。</w:t>
      </w:r>
      <w:r>
        <w:rPr>
          <w:rFonts w:hint="eastAsia" w:ascii="仿宋_GB2312" w:hAnsi="宋体" w:eastAsia="仿宋_GB2312" w:cs="宋体"/>
          <w:kern w:val="0"/>
          <w:sz w:val="32"/>
          <w:szCs w:val="32"/>
          <w:highlight w:val="none"/>
        </w:rPr>
        <w:t xml:space="preserve">    </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项目支出：62.99万元，</w:t>
      </w:r>
      <w:r>
        <w:rPr>
          <w:rFonts w:hint="eastAsia" w:ascii="仿宋_GB2312" w:hAnsi="宋体" w:eastAsia="仿宋_GB2312" w:cs="宋体"/>
          <w:kern w:val="0"/>
          <w:sz w:val="32"/>
          <w:szCs w:val="32"/>
          <w:highlight w:val="none"/>
        </w:rPr>
        <w:t>占</w:t>
      </w: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比上年增加</w:t>
      </w:r>
      <w:r>
        <w:rPr>
          <w:rFonts w:hint="eastAsia" w:ascii="仿宋_GB2312" w:hAnsi="宋体" w:eastAsia="仿宋_GB2312" w:cs="宋体"/>
          <w:kern w:val="0"/>
          <w:sz w:val="32"/>
          <w:szCs w:val="32"/>
          <w:highlight w:val="none"/>
          <w:lang w:val="en-US" w:eastAsia="zh-CN"/>
        </w:rPr>
        <w:t>62.99</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单位是2019年3月份新设立的没有编制上年预算。</w:t>
      </w:r>
      <w:r>
        <w:rPr>
          <w:rFonts w:hint="eastAsia" w:ascii="仿宋_GB2312" w:hAnsi="宋体" w:eastAsia="仿宋_GB2312" w:cs="宋体"/>
          <w:kern w:val="0"/>
          <w:sz w:val="32"/>
          <w:szCs w:val="32"/>
          <w:highlight w:val="none"/>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lang w:val="en-US" w:eastAsia="zh-CN"/>
        </w:rPr>
        <w:t>克州医疗保障局2020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210.62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收入</w:t>
      </w:r>
      <w:r>
        <w:rPr>
          <w:rFonts w:hint="eastAsia" w:ascii="仿宋_GB2312" w:hAnsi="宋体" w:eastAsia="仿宋_GB2312" w:cs="宋体"/>
          <w:kern w:val="0"/>
          <w:sz w:val="32"/>
          <w:szCs w:val="32"/>
          <w:lang w:eastAsia="zh-CN"/>
        </w:rPr>
        <w:t>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卫生健康</w:t>
      </w:r>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val="en-US" w:eastAsia="zh-CN"/>
        </w:rPr>
        <w:t>210.62</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人员经费</w:t>
      </w:r>
      <w:r>
        <w:rPr>
          <w:rFonts w:hint="eastAsia" w:ascii="仿宋_GB2312" w:hAnsi="宋体" w:eastAsia="仿宋_GB2312" w:cs="宋体"/>
          <w:kern w:val="0"/>
          <w:sz w:val="32"/>
          <w:szCs w:val="32"/>
          <w:lang w:val="en-US" w:eastAsia="zh-CN"/>
        </w:rPr>
        <w:t>139.74万元，公用经费7.89万元，项目支出62.99万元</w:t>
      </w:r>
      <w:r>
        <w:rPr>
          <w:rFonts w:hint="eastAsia" w:ascii="仿宋_GB2312" w:hAnsi="宋体" w:eastAsia="仿宋_GB2312" w:cs="宋体"/>
          <w:kern w:val="0"/>
          <w:sz w:val="32"/>
          <w:szCs w:val="32"/>
          <w:lang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val="en-US" w:eastAsia="zh-CN"/>
        </w:rPr>
        <w:t>克州医疗保障局2020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克州医疗保障局2020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210.62</w:t>
      </w:r>
      <w:r>
        <w:rPr>
          <w:rFonts w:hint="eastAsia" w:ascii="仿宋_GB2312" w:hAnsi="宋体" w:eastAsia="仿宋_GB2312" w:cs="宋体"/>
          <w:kern w:val="0"/>
          <w:sz w:val="32"/>
          <w:szCs w:val="32"/>
        </w:rPr>
        <w:t xml:space="preserve"> 万元，比上年执行数</w:t>
      </w:r>
      <w:r>
        <w:rPr>
          <w:rFonts w:hint="eastAsia" w:ascii="仿宋_GB2312" w:hAnsi="宋体" w:eastAsia="仿宋_GB2312" w:cs="宋体"/>
          <w:kern w:val="0"/>
          <w:sz w:val="32"/>
          <w:szCs w:val="32"/>
          <w:lang w:val="en-US" w:eastAsia="zh-CN"/>
        </w:rPr>
        <w:t>增加87.76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71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单位是2019年3月份新设立的财政拨款增加。</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lang w:val="en-US" w:eastAsia="zh-CN"/>
        </w:rPr>
        <w:t>卫生健康支出（210）</w:t>
      </w:r>
      <w:r>
        <w:rPr>
          <w:rFonts w:hint="eastAsia" w:ascii="仿宋_GB2312" w:hAnsi="宋体" w:eastAsia="仿宋_GB2312" w:cs="宋体"/>
          <w:kern w:val="0"/>
          <w:sz w:val="32"/>
          <w:szCs w:val="32"/>
          <w:lang w:val="en-US" w:eastAsia="zh-CN"/>
        </w:rPr>
        <w:t>210.62</w:t>
      </w:r>
      <w:r>
        <w:rPr>
          <w:rFonts w:hint="eastAsia" w:ascii="仿宋_GB2312" w:hAnsi="宋体" w:eastAsia="仿宋_GB2312" w:cs="宋体"/>
          <w:kern w:val="0"/>
          <w:sz w:val="32"/>
          <w:szCs w:val="32"/>
        </w:rPr>
        <w:t xml:space="preserve"> </w:t>
      </w:r>
      <w:r>
        <w:rPr>
          <w:rFonts w:hint="eastAsia" w:ascii="仿宋_GB2312" w:eastAsia="仿宋_GB2312"/>
          <w:sz w:val="32"/>
          <w:szCs w:val="32"/>
          <w:lang w:val="en-US" w:eastAsia="zh-CN"/>
        </w:rPr>
        <w:t>万元，占100 %</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卫生健康支出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210</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医疗保障管理事务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其他医疗保障管理事务支出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99</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113.3</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77.44</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val="en-US" w:eastAsia="zh-CN"/>
        </w:rPr>
        <w:t>财政项目拨款减少。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卫生健康支出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210</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医疗保障管理事务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917.85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802.45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695</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val="en-US" w:eastAsia="zh-CN"/>
        </w:rPr>
        <w:t>单位是2019年3月份新设立的，自治区拨款增加.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卫生健康支出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210</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医疗救助</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13</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其他医疗救助支出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99</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49.99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49.99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val="en-US" w:eastAsia="zh-CN"/>
        </w:rPr>
        <w:t>此款项为今年新设立项目。</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val="en-US" w:eastAsia="zh-CN"/>
        </w:rPr>
        <w:t>克州医疗保障局2020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克州医疗保障局2020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147.63</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139.74</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48.52万元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53.82万元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4.04万元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15.43万元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7.37万元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10.54万元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0.01万元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7.89万元</w:t>
      </w:r>
      <w:r>
        <w:rPr>
          <w:rFonts w:hint="eastAsia" w:ascii="仿宋_GB2312" w:hAnsi="宋体" w:eastAsia="仿宋_GB2312" w:cs="宋体"/>
          <w:kern w:val="0"/>
          <w:sz w:val="32"/>
          <w:szCs w:val="32"/>
        </w:rPr>
        <w:t>万元，主要包括：公务接待费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0.68万元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1.22万元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4万元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val="en-US" w:eastAsia="zh-CN"/>
        </w:rPr>
        <w:t>克州医疗保障局2020</w:t>
      </w:r>
      <w:r>
        <w:rPr>
          <w:rFonts w:hint="eastAsia" w:ascii="黑体" w:hAnsi="宋体" w:eastAsia="黑体" w:cs="宋体"/>
          <w:kern w:val="0"/>
          <w:sz w:val="32"/>
          <w:szCs w:val="32"/>
        </w:rPr>
        <w:t>年项目支出情况说明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医疗救助经办服务费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州本级项目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49.99万元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克州医疗保障局</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用于付保险公司一站式服务费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2020年全年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线路租赁费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州本级项目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克州医疗保障局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用于</w:t>
      </w:r>
      <w:r>
        <w:rPr>
          <w:rFonts w:hint="eastAsia" w:ascii="仿宋_GB2312" w:hAnsi="宋体" w:eastAsia="仿宋_GB2312" w:cs="宋体"/>
          <w:kern w:val="0"/>
          <w:sz w:val="32"/>
          <w:szCs w:val="32"/>
          <w:lang w:val="en-US" w:eastAsia="zh-CN"/>
        </w:rPr>
        <w:t>宽带网络</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2020年全年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医疗宣传费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州本级项目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6</w:t>
      </w:r>
      <w:r>
        <w:rPr>
          <w:rFonts w:hint="eastAsia" w:ascii="仿宋_GB2312" w:hAnsi="宋体" w:eastAsia="仿宋_GB2312" w:cs="宋体"/>
          <w:kern w:val="0"/>
          <w:sz w:val="32"/>
          <w:szCs w:val="32"/>
          <w:lang w:val="en-US" w:eastAsia="zh-CN"/>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克州医疗保障局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用于</w:t>
      </w:r>
      <w:r>
        <w:rPr>
          <w:rFonts w:hint="eastAsia" w:ascii="仿宋_GB2312" w:hAnsi="宋体" w:eastAsia="仿宋_GB2312" w:cs="宋体"/>
          <w:kern w:val="0"/>
          <w:sz w:val="32"/>
          <w:szCs w:val="32"/>
          <w:lang w:val="en-US" w:eastAsia="zh-CN"/>
        </w:rPr>
        <w:t>单位全年办公经费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2020年全年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医疗基金业务经办费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州本级项目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5</w:t>
      </w:r>
      <w:r>
        <w:rPr>
          <w:rFonts w:hint="eastAsia" w:ascii="仿宋_GB2312" w:hAnsi="宋体" w:eastAsia="仿宋_GB2312" w:cs="宋体"/>
          <w:kern w:val="0"/>
          <w:sz w:val="32"/>
          <w:szCs w:val="32"/>
          <w:lang w:val="en-US" w:eastAsia="zh-CN"/>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克州医疗保障局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用于</w:t>
      </w:r>
      <w:r>
        <w:rPr>
          <w:rFonts w:hint="eastAsia" w:ascii="仿宋_GB2312" w:hAnsi="宋体" w:eastAsia="仿宋_GB2312" w:cs="宋体"/>
          <w:kern w:val="0"/>
          <w:sz w:val="32"/>
          <w:szCs w:val="32"/>
          <w:lang w:val="en-US" w:eastAsia="zh-CN"/>
        </w:rPr>
        <w:t>单位全年办公经费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2020年全年</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黑体" w:eastAsia="仿宋_GB2312"/>
          <w:sz w:val="32"/>
          <w:szCs w:val="32"/>
          <w:lang w:val="en-US"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黑体" w:eastAsia="仿宋_GB2312"/>
          <w:sz w:val="32"/>
          <w:szCs w:val="32"/>
          <w:lang w:val="en-US"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val="en-US" w:eastAsia="zh-CN"/>
        </w:rPr>
        <w:t>克州医疗保障局2020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克州医疗保障局2020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 xml:space="preserve">万元，其中：因公出国（境）费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万元，公务用车运行费</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年“三公”经费财政拨款预算比上年增加</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单位是2019年3月份新设立的没有上年预算</w:t>
      </w:r>
      <w:r>
        <w:rPr>
          <w:rFonts w:hint="eastAsia" w:ascii="仿宋_GB2312" w:hAnsi="宋体" w:eastAsia="仿宋_GB2312" w:cs="宋体"/>
          <w:kern w:val="0"/>
          <w:sz w:val="32"/>
          <w:szCs w:val="32"/>
        </w:rPr>
        <w:t>；公务用车购置费为0，未安排预算。[或公务用车购置费增加（减少）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单位是2019年3月份新设立的没有上年预算</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单位是2019年3月份新设立的没有上年预算</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单位是2019年3月份新设立的没有上年预算</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val="en-US" w:eastAsia="zh-CN"/>
        </w:rPr>
        <w:t>克州医疗保障局2020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克州医疗保障局2020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克州医疗保障局</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家事业单位的机关运行经费财政拨款预算</w:t>
      </w:r>
      <w:r>
        <w:rPr>
          <w:rFonts w:hint="eastAsia" w:ascii="仿宋_GB2312" w:hAnsi="宋体" w:eastAsia="仿宋_GB2312" w:cs="宋体"/>
          <w:kern w:val="0"/>
          <w:sz w:val="32"/>
          <w:szCs w:val="32"/>
          <w:lang w:val="en-US" w:eastAsia="zh-CN"/>
        </w:rPr>
        <w:t>7.89</w:t>
      </w:r>
      <w:r>
        <w:rPr>
          <w:rFonts w:hint="eastAsia" w:ascii="仿宋_GB2312" w:hAnsi="宋体" w:eastAsia="仿宋_GB2312" w:cs="宋体"/>
          <w:kern w:val="0"/>
          <w:sz w:val="32"/>
          <w:szCs w:val="32"/>
        </w:rPr>
        <w:t>万元，比上年预算增加（减少）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val="en-US" w:eastAsia="zh-CN"/>
        </w:rPr>
        <w:t>单位是2019年3月份新设立的没有上年预算</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2020</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克州医疗保障局</w:t>
      </w:r>
      <w:r>
        <w:rPr>
          <w:rFonts w:hint="eastAsia" w:ascii="仿宋_GB2312" w:hAnsi="宋体" w:eastAsia="仿宋_GB2312" w:cs="宋体"/>
          <w:kern w:val="0"/>
          <w:sz w:val="32"/>
          <w:szCs w:val="32"/>
          <w:highlight w:val="none"/>
        </w:rPr>
        <w:t>部门及下属单位政府采购预算</w:t>
      </w:r>
      <w:r>
        <w:rPr>
          <w:rFonts w:hint="eastAsia" w:ascii="仿宋_GB2312" w:hAnsi="宋体" w:eastAsia="仿宋_GB2312" w:cs="宋体"/>
          <w:kern w:val="0"/>
          <w:sz w:val="32"/>
          <w:szCs w:val="32"/>
          <w:highlight w:val="none"/>
          <w:lang w:val="en-US" w:eastAsia="zh-CN"/>
        </w:rPr>
        <w:t>755.22</w:t>
      </w:r>
      <w:r>
        <w:rPr>
          <w:rFonts w:hint="eastAsia" w:ascii="仿宋_GB2312" w:hAnsi="宋体" w:eastAsia="仿宋_GB2312" w:cs="宋体"/>
          <w:kern w:val="0"/>
          <w:sz w:val="32"/>
          <w:szCs w:val="32"/>
          <w:highlight w:val="none"/>
        </w:rPr>
        <w:t>万元，其中：政府采购货物预算</w:t>
      </w:r>
      <w:r>
        <w:rPr>
          <w:rFonts w:hint="eastAsia" w:ascii="仿宋_GB2312" w:hAnsi="宋体" w:eastAsia="仿宋_GB2312" w:cs="宋体"/>
          <w:kern w:val="0"/>
          <w:sz w:val="32"/>
          <w:szCs w:val="32"/>
          <w:highlight w:val="none"/>
          <w:lang w:val="en-US" w:eastAsia="zh-CN"/>
        </w:rPr>
        <w:t>246.22</w:t>
      </w:r>
      <w:r>
        <w:rPr>
          <w:rFonts w:hint="eastAsia" w:ascii="仿宋_GB2312" w:hAnsi="宋体" w:eastAsia="仿宋_GB2312" w:cs="宋体"/>
          <w:kern w:val="0"/>
          <w:sz w:val="32"/>
          <w:szCs w:val="32"/>
          <w:highlight w:val="none"/>
        </w:rPr>
        <w:t>万元，政府采购工程预算</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万元，政府采购服务预算</w:t>
      </w:r>
      <w:r>
        <w:rPr>
          <w:rFonts w:hint="eastAsia" w:ascii="仿宋_GB2312" w:hAnsi="宋体" w:eastAsia="仿宋_GB2312" w:cs="宋体"/>
          <w:kern w:val="0"/>
          <w:sz w:val="32"/>
          <w:szCs w:val="32"/>
          <w:highlight w:val="none"/>
          <w:lang w:val="en-US" w:eastAsia="zh-CN"/>
        </w:rPr>
        <w:t>509</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val="en-US" w:eastAsia="zh-CN"/>
        </w:rPr>
        <w:t>克州医疗保障局</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18.47</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18.47</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3.办公家具价值</w:t>
      </w:r>
      <w:r>
        <w:rPr>
          <w:rFonts w:hint="eastAsia" w:ascii="仿宋_GB2312" w:hAnsi="宋体" w:eastAsia="仿宋_GB2312" w:cs="宋体"/>
          <w:kern w:val="0"/>
          <w:sz w:val="32"/>
          <w:szCs w:val="32"/>
          <w:highlight w:val="none"/>
          <w:lang w:val="en-US" w:eastAsia="zh-CN"/>
        </w:rPr>
        <w:t>2.2</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4.其他资产价值</w:t>
      </w:r>
      <w:r>
        <w:rPr>
          <w:rFonts w:hint="eastAsia" w:ascii="仿宋_GB2312" w:hAnsi="宋体" w:eastAsia="仿宋_GB2312" w:cs="宋体"/>
          <w:kern w:val="0"/>
          <w:sz w:val="32"/>
          <w:szCs w:val="32"/>
          <w:highlight w:val="none"/>
          <w:lang w:val="en-US" w:eastAsia="zh-CN"/>
        </w:rPr>
        <w:t>35.2</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62.99</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decimal"/>
          <w:cols w:space="425" w:num="1"/>
          <w:docGrid w:type="lines" w:linePitch="312" w:charSpace="0"/>
        </w:sect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克州医疗保障局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医疗救助经办服务费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49.99</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49.99</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为深入做好克州脱贫攻坚工作，最大程度方便、快捷、有效的对我州困难群众提供必要的医疗救助委托中国人寿克州分公司完成项目。</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一站式服务委托费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49.99万元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一站式服务委托时限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1年</w:t>
            </w:r>
          </w:p>
        </w:tc>
      </w:tr>
      <w:tr>
        <w:tblPrEx>
          <w:tblLayout w:type="fixed"/>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一站式服务委托机构数量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一站式服务情况</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有效完成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社会影响力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95%</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一站式服务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是困难群众一次性解决问题，不跑冤枉路</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decimal"/>
          <w:cols w:space="425" w:num="1"/>
          <w:docGrid w:type="lines" w:linePitch="312" w:charSpace="0"/>
        </w:sect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克州医疗保障局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线路租赁费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三县一市医疗保障局业务信息与州本级连接，实现资源共享。</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30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网络线路租赁费用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信息自动化处理时限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1年</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专线网络数量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4条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信息自动化运行保障率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方便群众就医</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提高工作效率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方便群众就医</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克州医疗保障局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医疗宣传</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利用宣传广大参保人员构筑有效安全的医疗保障平台，实现群众的实惠，政府的民心，医保的发展，多赢局面。为提高全州各族人民健康水平提供保障。</w:t>
            </w:r>
          </w:p>
        </w:tc>
      </w:tr>
      <w:tr>
        <w:tblPrEx>
          <w:tblLayout w:type="fixed"/>
          <w:tblCellMar>
            <w:top w:w="0" w:type="dxa"/>
            <w:left w:w="108" w:type="dxa"/>
            <w:bottom w:w="0" w:type="dxa"/>
            <w:right w:w="108" w:type="dxa"/>
          </w:tblCellMar>
        </w:tblPrEx>
        <w:trPr>
          <w:trHeight w:val="33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印刷宣传册费用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项目执行时效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=1年</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职工医保宣传册数量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20000份</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城乡居民医保宣传册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20000份</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群众及时了解掌握政策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长期</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广大参保人民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得到实惠，了解医疗内容</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克州医疗保障局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医疗基金业务经办费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开展医疗保险费、生育保险、医疗救助等相关业务工作承担医保基金监管，定点药店和定点医疗机构的管理，负责医疗保障服务经办管理等工作。</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公用费劲使用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管理医疗保险参保和支出时限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=1年</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监管定点医疗机构零售药店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208家</w:t>
            </w:r>
          </w:p>
        </w:tc>
      </w:tr>
      <w:tr>
        <w:tblPrEx>
          <w:tblLayout w:type="fixed"/>
          <w:tblCellMar>
            <w:top w:w="0" w:type="dxa"/>
            <w:left w:w="108" w:type="dxa"/>
            <w:bottom w:w="0" w:type="dxa"/>
            <w:right w:w="108" w:type="dxa"/>
          </w:tblCellMar>
        </w:tblPrEx>
        <w:trPr>
          <w:trHeight w:val="37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业务管理单位</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医疗保险业务执行率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96%</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对群众及时、便捷就医</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长期</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优化服务流程推进异地就医</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全州</w:t>
            </w:r>
            <w:r>
              <w:rPr>
                <w:rFonts w:hint="eastAsia" w:ascii="宋体" w:hAnsi="宋体" w:cs="宋体"/>
                <w:kern w:val="0"/>
                <w:sz w:val="18"/>
                <w:szCs w:val="18"/>
                <w:lang w:val="en-US" w:eastAsia="zh-CN"/>
              </w:rPr>
              <w:t>48家医疗机构实行一站式服务办理流程和备案手续</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对群众满意度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96%</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20" w:lineRule="exact"/>
        <w:jc w:val="left"/>
        <w:rPr>
          <w:rFonts w:hint="eastAsia" w:ascii="楷体_GB2312" w:hAnsi="宋体" w:eastAsia="楷体_GB2312" w:cs="宋体"/>
          <w:b/>
          <w:kern w:val="0"/>
          <w:sz w:val="32"/>
          <w:szCs w:val="32"/>
        </w:rPr>
        <w:sectPr>
          <w:pgSz w:w="16838" w:h="11906" w:orient="landscape"/>
          <w:pgMar w:top="1531" w:right="1985" w:bottom="1531" w:left="1843" w:header="851" w:footer="992" w:gutter="0"/>
          <w:pgNumType w:fmt="decimal"/>
          <w:cols w:space="0" w:num="1"/>
          <w:rtlGutter w:val="0"/>
          <w:docGrid w:type="lines" w:linePitch="315" w:charSpace="0"/>
        </w:sectPr>
      </w:pPr>
    </w:p>
    <w:p>
      <w:pPr>
        <w:widowControl/>
        <w:spacing w:line="520" w:lineRule="exact"/>
        <w:ind w:firstLine="643" w:firstLineChars="200"/>
        <w:jc w:val="left"/>
        <w:rPr>
          <w:rFonts w:hint="eastAsia" w:ascii="仿宋_GB2312" w:hAnsi="宋体" w:eastAsia="仿宋_GB2312" w:cs="宋体"/>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克州医疗保障就无其他事项说明。</w:t>
      </w:r>
      <w:r>
        <w:rPr>
          <w:rFonts w:hint="eastAsia" w:ascii="仿宋_GB2312" w:hAnsi="宋体" w:eastAsia="仿宋_GB2312" w:cs="宋体"/>
          <w:kern w:val="0"/>
          <w:sz w:val="32"/>
          <w:szCs w:val="32"/>
        </w:rPr>
        <w:t xml:space="preserve">     </w:t>
      </w:r>
    </w:p>
    <w:p>
      <w:pPr>
        <w:widowControl/>
        <w:spacing w:line="520" w:lineRule="exact"/>
        <w:ind w:firstLine="640" w:firstLineChars="200"/>
        <w:jc w:val="left"/>
        <w:rPr>
          <w:rFonts w:hint="eastAsia" w:ascii="仿宋_GB2312" w:hAnsi="宋体" w:eastAsia="仿宋_GB2312" w:cs="宋体"/>
          <w:kern w:val="0"/>
          <w:sz w:val="32"/>
          <w:szCs w:val="32"/>
        </w:rPr>
      </w:pPr>
    </w:p>
    <w:p>
      <w:pPr>
        <w:widowControl/>
        <w:spacing w:line="520" w:lineRule="exact"/>
        <w:ind w:firstLine="640" w:firstLineChars="200"/>
        <w:jc w:val="left"/>
        <w:rPr>
          <w:rFonts w:hint="eastAsia"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克州医疗保障局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25</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4" w:right="1531" w:bottom="1843" w:left="153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0E742AC"/>
    <w:rsid w:val="01D77B64"/>
    <w:rsid w:val="04214689"/>
    <w:rsid w:val="04C65846"/>
    <w:rsid w:val="064F2347"/>
    <w:rsid w:val="0676304B"/>
    <w:rsid w:val="0843484C"/>
    <w:rsid w:val="08C759D6"/>
    <w:rsid w:val="0C803736"/>
    <w:rsid w:val="0CEC023B"/>
    <w:rsid w:val="159B3904"/>
    <w:rsid w:val="190D0D23"/>
    <w:rsid w:val="21DE4CC7"/>
    <w:rsid w:val="24670F33"/>
    <w:rsid w:val="2858726B"/>
    <w:rsid w:val="314B0518"/>
    <w:rsid w:val="33570192"/>
    <w:rsid w:val="34F9650D"/>
    <w:rsid w:val="381D1DD5"/>
    <w:rsid w:val="38CE6DFD"/>
    <w:rsid w:val="3B0D5528"/>
    <w:rsid w:val="3DDC63A7"/>
    <w:rsid w:val="3E8E1AA5"/>
    <w:rsid w:val="3F417EED"/>
    <w:rsid w:val="447553A8"/>
    <w:rsid w:val="45844A96"/>
    <w:rsid w:val="45DE1504"/>
    <w:rsid w:val="46926966"/>
    <w:rsid w:val="496C33BB"/>
    <w:rsid w:val="49C102EB"/>
    <w:rsid w:val="4DB54069"/>
    <w:rsid w:val="4E076508"/>
    <w:rsid w:val="4E540BCB"/>
    <w:rsid w:val="4FD52C51"/>
    <w:rsid w:val="50C86275"/>
    <w:rsid w:val="5103244D"/>
    <w:rsid w:val="516965B0"/>
    <w:rsid w:val="51BA233E"/>
    <w:rsid w:val="51E10FA3"/>
    <w:rsid w:val="52914A93"/>
    <w:rsid w:val="53982D67"/>
    <w:rsid w:val="545B1C2A"/>
    <w:rsid w:val="556F0152"/>
    <w:rsid w:val="57C25E33"/>
    <w:rsid w:val="59E71B82"/>
    <w:rsid w:val="5B426435"/>
    <w:rsid w:val="606B77F9"/>
    <w:rsid w:val="626550AF"/>
    <w:rsid w:val="64E9216E"/>
    <w:rsid w:val="65F635AB"/>
    <w:rsid w:val="6D2E63B3"/>
    <w:rsid w:val="74DB394D"/>
    <w:rsid w:val="78A64C35"/>
    <w:rsid w:val="78FC0203"/>
    <w:rsid w:val="7A6121AC"/>
    <w:rsid w:val="7ACA7DA7"/>
    <w:rsid w:val="7BDC25B4"/>
    <w:rsid w:val="7D10294D"/>
    <w:rsid w:val="7D4C7E3A"/>
    <w:rsid w:val="7DDA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7"/>
    <w:semiHidden/>
    <w:qFormat/>
    <w:uiPriority w:val="99"/>
    <w:rPr>
      <w:rFonts w:ascii="Times New Roman" w:hAnsi="Times New Roman" w:eastAsia="宋体" w:cs="Times New Roman"/>
      <w:sz w:val="18"/>
      <w:szCs w:val="18"/>
    </w:rPr>
  </w:style>
  <w:style w:type="character" w:customStyle="1" w:styleId="16">
    <w:name w:val="正文文本缩进 3 字符"/>
    <w:basedOn w:val="7"/>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customStyle="1"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3</TotalTime>
  <ScaleCrop>false</ScaleCrop>
  <LinksUpToDate>false</LinksUpToDate>
  <CharactersWithSpaces>10542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2020-01-09T10:17:00Z</cp:lastPrinted>
  <dcterms:modified xsi:type="dcterms:W3CDTF">2020-02-07T08:40:43Z</dcterms:modified>
  <dc:title>附件：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