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克孜勒苏柯尔克孜自治州出版社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一、克孜勒苏出版社收支总体情况表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二、克孜勒苏出版社总体情况表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三、克孜勒苏出版社支出总体情况表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四、克孜勒苏出版社财政拨款收支总体情况表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五、克孜勒苏出版社一般公共预算支出情况表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六、克孜勒苏出版社一般公共预算基本支出情况表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七、克孜勒苏出版社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八、克孜勒苏出版社一般公共预算“三公”经费支出情况表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九、克孜勒苏出版社政府性基金预算支出情况表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年克孜勒苏出版社政府性基金预算拨款情况说明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克孜勒苏出版社单位概况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以“邓小平理论”、“三个代表”重要思想统领全局，学习宣传贯彻习近平新时代中国特色社会主义思想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和党的十九大精神</w:t>
      </w:r>
      <w:bookmarkStart w:id="0" w:name="_GoBack"/>
      <w:bookmarkEnd w:id="0"/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坚持先进文化的前进方向，弘扬主旋律，提倡多样化，推动文化产业蓬勃发展，为满足人民群众的精神文明需要，是坚持以公益性出版、少数民族文字出版为主的出版方针，动员和组织著译力量从事创作、编著和翻译，出版为国家和人民所需要的图书、期刊及音像制品，出版国家、自治区，自治州交办的重大政治、经济、文化、教育类出版物，为克孜勒苏文化建设和经济建设作出新的贡献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情况二：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无下属预算单位按以下内容说明：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克孜勒苏出版社无下属预算单位，下设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个科室，分别是：综合办公室、总编室、审读室、发行科。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ascii="仿宋_GB2312" w:hAnsi="宋体" w:eastAsia="仿宋_GB2312" w:cs="宋体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ascii="仿宋_GB2312" w:hAnsi="宋体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2020</w:t>
      </w:r>
      <w:r>
        <w:rPr>
          <w:rFonts w:hint="eastAsia" w:ascii="黑体" w:hAnsi="黑体" w:eastAsia="黑体"/>
          <w:kern w:val="0"/>
          <w:sz w:val="32"/>
          <w:szCs w:val="32"/>
        </w:rPr>
        <w:t>年克孜勒苏出版社预算公开表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编制部门：克孜勒苏出版社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填报部门：克孜勒苏出版社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93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1"/>
        <w:gridCol w:w="604"/>
        <w:gridCol w:w="639"/>
        <w:gridCol w:w="852"/>
        <w:gridCol w:w="852"/>
        <w:gridCol w:w="639"/>
        <w:gridCol w:w="639"/>
        <w:gridCol w:w="426"/>
        <w:gridCol w:w="639"/>
        <w:gridCol w:w="639"/>
        <w:gridCol w:w="639"/>
        <w:gridCol w:w="426"/>
        <w:gridCol w:w="852"/>
        <w:gridCol w:w="1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222.10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222.10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222.10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222.10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编制部门：克孜勒苏出版社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36"/>
        <w:gridCol w:w="456"/>
        <w:gridCol w:w="2511"/>
        <w:gridCol w:w="1815"/>
        <w:gridCol w:w="1816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行政运行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222.10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222.10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222.10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222.10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编制部门：克孜勒苏出版社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222.10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222.10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222.10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222.10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222.10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222.10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492"/>
        <w:gridCol w:w="463"/>
        <w:gridCol w:w="2488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克孜勒苏出版社一般公共预算支出情况表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编制部门：克孜勒苏出版社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222.10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222.10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克孜勒苏出版社一般公共预算基本支出情况表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编制部门：克孜勒苏出版社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65.33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21.29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80.36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80.36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13.96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222.10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7.07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9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2"/>
        <w:gridCol w:w="439"/>
        <w:gridCol w:w="439"/>
        <w:gridCol w:w="851"/>
        <w:gridCol w:w="1456"/>
        <w:gridCol w:w="740"/>
        <w:gridCol w:w="104"/>
        <w:gridCol w:w="462"/>
        <w:gridCol w:w="533"/>
        <w:gridCol w:w="3"/>
        <w:gridCol w:w="652"/>
        <w:gridCol w:w="652"/>
        <w:gridCol w:w="375"/>
        <w:gridCol w:w="203"/>
        <w:gridCol w:w="419"/>
        <w:gridCol w:w="578"/>
        <w:gridCol w:w="420"/>
        <w:gridCol w:w="420"/>
        <w:gridCol w:w="386"/>
        <w:gridCol w:w="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0" w:type="dxa"/>
          <w:trHeight w:val="375" w:hRule="atLeast"/>
        </w:trPr>
        <w:tc>
          <w:tcPr>
            <w:tcW w:w="967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克孜勒苏出版社项目支出情况表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0" w:type="dxa"/>
          <w:trHeight w:val="405" w:hRule="atLeast"/>
        </w:trPr>
        <w:tc>
          <w:tcPr>
            <w:tcW w:w="45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编制部门：克孜勒苏出版社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8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0" w:type="dxa"/>
            <w:gridSpan w:val="2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9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9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>207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>06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>01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56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备注：克孜勒苏出版社</w:t>
      </w:r>
      <w:r>
        <w:rPr>
          <w:rFonts w:ascii="仿宋_GB2312" w:hAnsi="宋体" w:eastAsia="仿宋_GB2312"/>
          <w:b/>
          <w:kern w:val="0"/>
          <w:sz w:val="28"/>
          <w:szCs w:val="32"/>
        </w:rPr>
        <w:t>2020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年度未安排项目。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编制单位：克孜勒苏出版社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克孜勒苏出版社政府性基金预算支出情况表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编制单位：克孜勒苏出版社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13"/>
        <w:gridCol w:w="513"/>
        <w:gridCol w:w="2818"/>
        <w:gridCol w:w="1524"/>
        <w:gridCol w:w="1661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6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207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06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备注：克孜勒苏出版社</w:t>
      </w:r>
      <w:r>
        <w:rPr>
          <w:rFonts w:ascii="仿宋_GB2312" w:hAnsi="宋体" w:eastAsia="仿宋_GB2312"/>
          <w:b/>
          <w:kern w:val="0"/>
          <w:sz w:val="28"/>
          <w:szCs w:val="32"/>
        </w:rPr>
        <w:t>2020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年未安排政府性基金。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kern w:val="0"/>
          <w:sz w:val="32"/>
          <w:szCs w:val="32"/>
        </w:rPr>
        <w:t>年克孜勒苏出版社预算情况说明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ascii="仿宋_GB2312" w:hAnsi="宋体" w:eastAsia="仿宋_GB2312" w:cs="宋体"/>
          <w:kern w:val="0"/>
          <w:sz w:val="32"/>
          <w:szCs w:val="32"/>
        </w:rPr>
        <w:t>0 %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万元，主要原因是我单位无政府性基金预算安排的收入。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四、关于克孜勒苏出版社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27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无政府性基金预算拨款的部门单位按以下格式填写</w:t>
      </w: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文化体育与传媒（</w:t>
      </w:r>
      <w:r>
        <w:rPr>
          <w:rFonts w:ascii="仿宋_GB2312" w:eastAsia="仿宋_GB2312"/>
          <w:sz w:val="32"/>
          <w:szCs w:val="32"/>
        </w:rPr>
        <w:t>207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ascii="楷体_GB2312" w:eastAsia="楷体_GB2312"/>
          <w:b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2.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出版事业行政运行对应的基本支出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万元，是指人员经费支出和公用经费支出，占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例：文化体育与传媒（</w:t>
      </w:r>
      <w:r>
        <w:rPr>
          <w:rFonts w:ascii="仿宋_GB2312" w:hAnsi="宋体" w:eastAsia="仿宋_GB2312" w:cs="宋体"/>
          <w:kern w:val="0"/>
          <w:sz w:val="32"/>
          <w:szCs w:val="32"/>
        </w:rPr>
        <w:t>207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类）财政事务（</w:t>
      </w:r>
      <w:r>
        <w:rPr>
          <w:rFonts w:ascii="仿宋_GB2312" w:hAnsi="宋体" w:eastAsia="仿宋_GB2312" w:cs="宋体"/>
          <w:kern w:val="0"/>
          <w:sz w:val="32"/>
          <w:szCs w:val="32"/>
        </w:rPr>
        <w:t>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款）行政运行（</w:t>
      </w:r>
      <w:r>
        <w:rPr>
          <w:rFonts w:ascii="仿宋_GB2312" w:hAnsi="宋体" w:eastAsia="仿宋_GB2312" w:cs="宋体"/>
          <w:kern w:val="0"/>
          <w:sz w:val="32"/>
          <w:szCs w:val="32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222.10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215.02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>65.33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ascii="仿宋_GB2312" w:hAnsi="宋体" w:eastAsia="仿宋_GB2312" w:cs="宋体"/>
          <w:kern w:val="0"/>
          <w:sz w:val="32"/>
          <w:szCs w:val="32"/>
        </w:rPr>
        <w:t>80.36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>5.44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21.29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ascii="仿宋_GB2312" w:hAnsi="宋体" w:eastAsia="仿宋_GB2312" w:cs="宋体"/>
          <w:kern w:val="0"/>
          <w:sz w:val="32"/>
          <w:szCs w:val="32"/>
        </w:rPr>
        <w:t>13.96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>15.31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万元、退休费</w:t>
      </w:r>
      <w:r>
        <w:rPr>
          <w:rFonts w:ascii="仿宋_GB2312" w:hAnsi="宋体" w:eastAsia="仿宋_GB2312" w:cs="宋体"/>
          <w:kern w:val="0"/>
          <w:sz w:val="32"/>
          <w:szCs w:val="32"/>
        </w:rPr>
        <w:t>12.45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万元、生活补助</w:t>
      </w:r>
      <w:r>
        <w:rPr>
          <w:rFonts w:ascii="仿宋_GB2312" w:hAnsi="宋体" w:eastAsia="仿宋_GB2312" w:cs="宋体"/>
          <w:kern w:val="0"/>
          <w:sz w:val="32"/>
          <w:szCs w:val="32"/>
        </w:rPr>
        <w:t>0.44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万元、奖励金</w:t>
      </w:r>
      <w:r>
        <w:rPr>
          <w:rFonts w:ascii="仿宋_GB2312" w:hAnsi="宋体" w:eastAsia="仿宋_GB2312" w:cs="宋体"/>
          <w:kern w:val="0"/>
          <w:sz w:val="32"/>
          <w:szCs w:val="32"/>
        </w:rPr>
        <w:t>0.44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7.07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>1.05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宋体"/>
          <w:kern w:val="0"/>
          <w:sz w:val="32"/>
          <w:szCs w:val="32"/>
        </w:rPr>
        <w:t>0.90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>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ascii="仿宋_GB2312" w:hAnsi="宋体" w:eastAsia="仿宋_GB2312" w:cs="宋体"/>
          <w:kern w:val="0"/>
          <w:sz w:val="32"/>
          <w:szCs w:val="32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hint="eastAsia" w:ascii="仿宋_GB2312" w:hAnsi="宋体" w:eastAsia="仿宋_GB2312"/>
          <w:b/>
          <w:sz w:val="32"/>
          <w:szCs w:val="22"/>
        </w:rPr>
        <w:t>属于</w:t>
      </w:r>
      <w:r>
        <w:rPr>
          <w:rFonts w:hint="eastAsia"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年度未安排预算；公务用车购置费为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</w:t>
      </w:r>
      <w:r>
        <w:rPr>
          <w:rFonts w:ascii="仿宋_GB2312" w:hAnsi="宋体" w:eastAsia="仿宋_GB2312" w:cs="宋体"/>
          <w:kern w:val="0"/>
          <w:sz w:val="32"/>
          <w:szCs w:val="32"/>
        </w:rPr>
        <w:t>[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或公务用车购置费增加（减少）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</w:t>
      </w:r>
      <w:r>
        <w:rPr>
          <w:rFonts w:ascii="仿宋_GB2312" w:hAnsi="宋体" w:eastAsia="仿宋_GB2312" w:cs="宋体"/>
          <w:kern w:val="0"/>
          <w:sz w:val="32"/>
          <w:szCs w:val="32"/>
        </w:rPr>
        <w:t>]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年度新增预算单位；公务接待费增加（减少）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年我社未安排预算。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九、关于克孜勒苏出版社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年克孜勒苏出版社机关运行经费财政拨款预算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4.55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4.55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。主要原因是我社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年度新增预算单位。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年克孜勒苏出版社政府采购预算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2020</w:t>
      </w:r>
      <w:r>
        <w:rPr>
          <w:rFonts w:hint="eastAsia" w:ascii="仿宋_GB2312" w:hAnsi="仿宋_GB2312" w:eastAsia="仿宋_GB2312"/>
          <w:sz w:val="32"/>
        </w:rPr>
        <w:t>年度克孜勒苏出版社面向中小企业预留政府采购项目预算金额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年底，克孜勒苏出版社占用使用国有资产总体情况为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1421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56.4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>0.11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340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年克孜勒苏出版社预算未安排购置车辆经费，安排购置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克孜勒苏出版社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克孜勒苏出版社没有其他需说明事项。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克孜勒苏柯尔克孜自治州出版社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6C8F"/>
    <w:multiLevelType w:val="multilevel"/>
    <w:tmpl w:val="7D8D6C8F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CD5"/>
    <w:rsid w:val="00001DA1"/>
    <w:rsid w:val="00002D96"/>
    <w:rsid w:val="00004113"/>
    <w:rsid w:val="00012D28"/>
    <w:rsid w:val="00032AE8"/>
    <w:rsid w:val="00033B69"/>
    <w:rsid w:val="000343F0"/>
    <w:rsid w:val="00072F22"/>
    <w:rsid w:val="0008503D"/>
    <w:rsid w:val="000B14AB"/>
    <w:rsid w:val="000C6E65"/>
    <w:rsid w:val="000D56B0"/>
    <w:rsid w:val="000F65CB"/>
    <w:rsid w:val="00106382"/>
    <w:rsid w:val="00114DEC"/>
    <w:rsid w:val="00115754"/>
    <w:rsid w:val="001159F0"/>
    <w:rsid w:val="00124B9F"/>
    <w:rsid w:val="001917CC"/>
    <w:rsid w:val="001934F0"/>
    <w:rsid w:val="001C5450"/>
    <w:rsid w:val="001E29CB"/>
    <w:rsid w:val="001E418E"/>
    <w:rsid w:val="0020460A"/>
    <w:rsid w:val="002150BF"/>
    <w:rsid w:val="0023522E"/>
    <w:rsid w:val="002673C1"/>
    <w:rsid w:val="00285F6D"/>
    <w:rsid w:val="00297AD9"/>
    <w:rsid w:val="002A718B"/>
    <w:rsid w:val="002C1114"/>
    <w:rsid w:val="002C2E1A"/>
    <w:rsid w:val="00305D05"/>
    <w:rsid w:val="00324290"/>
    <w:rsid w:val="00334F47"/>
    <w:rsid w:val="003420FC"/>
    <w:rsid w:val="00387451"/>
    <w:rsid w:val="003874AF"/>
    <w:rsid w:val="003B1839"/>
    <w:rsid w:val="003D5681"/>
    <w:rsid w:val="004003C7"/>
    <w:rsid w:val="00405EBC"/>
    <w:rsid w:val="00407C14"/>
    <w:rsid w:val="004142B2"/>
    <w:rsid w:val="00432267"/>
    <w:rsid w:val="004570B4"/>
    <w:rsid w:val="00481CD5"/>
    <w:rsid w:val="004B4276"/>
    <w:rsid w:val="00546A35"/>
    <w:rsid w:val="00547AD5"/>
    <w:rsid w:val="0056042D"/>
    <w:rsid w:val="005A3EDA"/>
    <w:rsid w:val="005C42E0"/>
    <w:rsid w:val="005C734E"/>
    <w:rsid w:val="005D0B0D"/>
    <w:rsid w:val="005D177D"/>
    <w:rsid w:val="005E238F"/>
    <w:rsid w:val="00610061"/>
    <w:rsid w:val="00643145"/>
    <w:rsid w:val="006D1CED"/>
    <w:rsid w:val="006E7F1C"/>
    <w:rsid w:val="0070342C"/>
    <w:rsid w:val="00756F65"/>
    <w:rsid w:val="00775101"/>
    <w:rsid w:val="007C6E19"/>
    <w:rsid w:val="007D08BD"/>
    <w:rsid w:val="0080092B"/>
    <w:rsid w:val="008071B6"/>
    <w:rsid w:val="008160EE"/>
    <w:rsid w:val="008B588A"/>
    <w:rsid w:val="008D6E02"/>
    <w:rsid w:val="00925E40"/>
    <w:rsid w:val="00927465"/>
    <w:rsid w:val="00970166"/>
    <w:rsid w:val="009A4CB8"/>
    <w:rsid w:val="009D0AA2"/>
    <w:rsid w:val="009E5F1B"/>
    <w:rsid w:val="00A20053"/>
    <w:rsid w:val="00A50B46"/>
    <w:rsid w:val="00A972AC"/>
    <w:rsid w:val="00B22D8A"/>
    <w:rsid w:val="00B94BB0"/>
    <w:rsid w:val="00B956CA"/>
    <w:rsid w:val="00BA13DB"/>
    <w:rsid w:val="00BB3BD1"/>
    <w:rsid w:val="00BC000F"/>
    <w:rsid w:val="00BF3F08"/>
    <w:rsid w:val="00C313DF"/>
    <w:rsid w:val="00CB67B7"/>
    <w:rsid w:val="00CC33FB"/>
    <w:rsid w:val="00D06D6F"/>
    <w:rsid w:val="00D51B0C"/>
    <w:rsid w:val="00D606C1"/>
    <w:rsid w:val="00D643BF"/>
    <w:rsid w:val="00D70A69"/>
    <w:rsid w:val="00D74AB9"/>
    <w:rsid w:val="00DA6C62"/>
    <w:rsid w:val="00DB1CD4"/>
    <w:rsid w:val="00DC0639"/>
    <w:rsid w:val="00DC305F"/>
    <w:rsid w:val="00DC4671"/>
    <w:rsid w:val="00E2702C"/>
    <w:rsid w:val="00E43C86"/>
    <w:rsid w:val="00E469CA"/>
    <w:rsid w:val="00E64F2E"/>
    <w:rsid w:val="00E7167C"/>
    <w:rsid w:val="00E77CE5"/>
    <w:rsid w:val="00E82666"/>
    <w:rsid w:val="00EF6D41"/>
    <w:rsid w:val="00F1493C"/>
    <w:rsid w:val="00F457EC"/>
    <w:rsid w:val="00F94108"/>
    <w:rsid w:val="27DA7730"/>
    <w:rsid w:val="4B100CDF"/>
    <w:rsid w:val="591C4305"/>
    <w:rsid w:val="6AD234AF"/>
    <w:rsid w:val="6D0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kern w:val="0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Balloon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Footer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dy Text Indent 3 Char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7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9">
    <w:name w:val="页脚 字符1"/>
    <w:qFormat/>
    <w:uiPriority w:val="99"/>
    <w:rPr>
      <w:rFonts w:ascii="Times New Roman" w:hAnsi="Times New Roman" w:eastAsia="黑体"/>
      <w:snapToGrid w:val="0"/>
      <w:kern w:val="0"/>
      <w:sz w:val="18"/>
    </w:rPr>
  </w:style>
  <w:style w:type="character" w:customStyle="1" w:styleId="20">
    <w:name w:val="页眉 字符1"/>
    <w:qFormat/>
    <w:uiPriority w:val="99"/>
    <w:rPr>
      <w:rFonts w:ascii="Times New Roman" w:hAnsi="Times New Roman" w:eastAsia="宋体"/>
      <w:sz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23</Pages>
  <Words>1475</Words>
  <Characters>8411</Characters>
  <Lines>0</Lines>
  <Paragraphs>0</Paragraphs>
  <TotalTime>42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2020-11-28T11:30:00Z</cp:lastPrinted>
  <dcterms:modified xsi:type="dcterms:W3CDTF">2022-03-29T09:32:06Z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