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克孜勒苏柯尔克孜自治州出版社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ascii="方正小标宋_GBK" w:hAnsi="宋体" w:eastAsia="方正小标宋_GBK"/>
          <w:kern w:val="0"/>
          <w:sz w:val="44"/>
          <w:szCs w:val="44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</w:t>
      </w:r>
      <w:r>
        <w:rPr>
          <w:rFonts w:ascii="黑体" w:hAnsi="黑体" w:eastAsia="黑体"/>
          <w:kern w:val="0"/>
          <w:sz w:val="36"/>
          <w:szCs w:val="32"/>
        </w:rPr>
        <w:t xml:space="preserve"> </w:t>
      </w:r>
      <w:r>
        <w:rPr>
          <w:rFonts w:hint="eastAsia" w:ascii="黑体" w:hAnsi="黑体" w:eastAsia="黑体"/>
          <w:kern w:val="0"/>
          <w:sz w:val="36"/>
          <w:szCs w:val="32"/>
        </w:rPr>
        <w:t>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第二部分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一、克孜勒苏出版社收支总体情况表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二、克孜勒苏出版社总体情况表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三、克孜勒苏出版社支出总体情况表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四、克孜勒苏出版社财政拨款收支总体情况表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五、克孜勒苏出版社一般公共预算支出情况表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六、克孜勒苏出版社一般公共预算基本支出情况表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七、克孜勒苏出版社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八、克孜勒苏出版社一般公共预算“三公”经费支出情况表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九、克孜勒苏出版社政府性基金预算支出情况表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第三部分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ascii="仿宋_GB2312" w:hAnsi="宋体" w:eastAsia="仿宋_GB2312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年克孜勒苏出版社政府性基金预算拨款情况说明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</w:t>
      </w:r>
      <w:r>
        <w:rPr>
          <w:rFonts w:ascii="仿宋_GB2312" w:hAnsi="宋体" w:eastAsia="仿宋_GB2312"/>
          <w:b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名词解释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</w:t>
      </w:r>
      <w:r>
        <w:rPr>
          <w:rFonts w:ascii="黑体" w:hAnsi="黑体" w:eastAsia="黑体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/>
          <w:kern w:val="0"/>
          <w:sz w:val="32"/>
          <w:szCs w:val="32"/>
        </w:rPr>
        <w:t>克孜勒苏出版社单位概况</w:t>
      </w:r>
    </w:p>
    <w:p>
      <w:pPr>
        <w:widowControl/>
        <w:jc w:val="center"/>
        <w:outlineLvl w:val="1"/>
        <w:rPr>
          <w:rFonts w:ascii="宋体"/>
          <w:b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主要职能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黑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以“邓小平理论”、“三个代表”重要思想统领全局，学习宣传贯彻习近平新时代中国特色社会主义思想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eastAsia="zh-CN"/>
        </w:rPr>
        <w:t>和党的十九大精神</w:t>
      </w:r>
      <w:bookmarkStart w:id="0" w:name="_GoBack"/>
      <w:bookmarkEnd w:id="0"/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，坚持先进文化的前进方向，弘扬主旋律，提倡多样化，推动文化产业蓬勃发展，为满足人民群众的精神文明需要，是坚持以公益性出版、少数民族文字出版为主的出版方针，动员和组织著译力量从事创作、编著和翻译，出版为国家和人民所需要的图书、期刊及音像制品，出版国家、自治区，自治州交办的重大政治、经济、文化、教育类出版物，为克孜勒苏文化建设和经济建设作出新的贡献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ascii="仿宋_GB2312" w:hAnsi="黑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　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情况二：</w:t>
      </w:r>
      <w:r>
        <w:rPr>
          <w:rFonts w:hint="eastAsia" w:ascii="仿宋_GB2312" w:hAnsi="黑体" w:eastAsia="仿宋_GB2312" w:cs="宋体"/>
          <w:b/>
          <w:bCs/>
          <w:kern w:val="0"/>
          <w:sz w:val="32"/>
          <w:szCs w:val="32"/>
        </w:rPr>
        <w:t>无下属预算单位按以下内容说明：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克孜勒苏出版社无下属预算单位，下设</w:t>
      </w:r>
      <w:r>
        <w:rPr>
          <w:rFonts w:ascii="仿宋_GB2312" w:hAnsi="黑体" w:eastAsia="仿宋_GB2312" w:cs="宋体"/>
          <w:bCs/>
          <w:kern w:val="0"/>
          <w:sz w:val="32"/>
          <w:szCs w:val="32"/>
        </w:rPr>
        <w:t>4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个科室，分别是：综合办公室、总编室、审读室、发行科。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克孜勒苏出版社编制数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ascii="仿宋_GB2312" w:hAnsi="宋体" w:eastAsia="仿宋_GB2312" w:cs="宋体"/>
          <w:kern w:val="0"/>
          <w:sz w:val="32"/>
          <w:szCs w:val="32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</w:t>
      </w:r>
      <w:r>
        <w:rPr>
          <w:rFonts w:ascii="仿宋_GB2312" w:hAnsi="宋体" w:eastAsia="仿宋_GB2312" w:cs="宋体"/>
          <w:kern w:val="0"/>
          <w:sz w:val="32"/>
          <w:szCs w:val="32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，增加</w:t>
      </w:r>
      <w:r>
        <w:rPr>
          <w:rFonts w:ascii="仿宋_GB2312" w:hAnsi="宋体" w:eastAsia="仿宋_GB2312" w:cs="宋体"/>
          <w:kern w:val="0"/>
          <w:sz w:val="32"/>
          <w:szCs w:val="32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退休</w:t>
      </w:r>
      <w:r>
        <w:rPr>
          <w:rFonts w:ascii="仿宋_GB2312" w:hAnsi="宋体" w:eastAsia="仿宋_GB2312" w:cs="宋体"/>
          <w:kern w:val="0"/>
          <w:sz w:val="32"/>
          <w:szCs w:val="32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</w:t>
      </w:r>
      <w:r>
        <w:rPr>
          <w:rFonts w:ascii="仿宋_GB2312" w:hAnsi="宋体" w:eastAsia="仿宋_GB2312" w:cs="宋体"/>
          <w:kern w:val="0"/>
          <w:sz w:val="32"/>
          <w:szCs w:val="32"/>
        </w:rPr>
        <w:t>17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</w:t>
      </w:r>
      <w:r>
        <w:rPr>
          <w:rFonts w:ascii="黑体" w:hAnsi="黑体" w:eastAsia="黑体"/>
          <w:kern w:val="0"/>
          <w:sz w:val="32"/>
          <w:szCs w:val="32"/>
        </w:rPr>
        <w:t xml:space="preserve"> 2020</w:t>
      </w:r>
      <w:r>
        <w:rPr>
          <w:rFonts w:hint="eastAsia" w:ascii="黑体" w:hAnsi="黑体" w:eastAsia="黑体"/>
          <w:kern w:val="0"/>
          <w:sz w:val="32"/>
          <w:szCs w:val="32"/>
        </w:rPr>
        <w:t>年克孜勒苏出版社预算公开表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编制部门：克孜勒苏出版社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222.10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222.10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222.10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208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222.10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222.10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合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222.10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填报部门：克孜勒苏出版社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930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51"/>
        <w:gridCol w:w="604"/>
        <w:gridCol w:w="639"/>
        <w:gridCol w:w="852"/>
        <w:gridCol w:w="852"/>
        <w:gridCol w:w="639"/>
        <w:gridCol w:w="639"/>
        <w:gridCol w:w="426"/>
        <w:gridCol w:w="639"/>
        <w:gridCol w:w="639"/>
        <w:gridCol w:w="639"/>
        <w:gridCol w:w="426"/>
        <w:gridCol w:w="852"/>
        <w:gridCol w:w="1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计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上级专项收入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207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06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行政运行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222.10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222.10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222.10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222.10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  <w: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编制部门：克孜勒苏出版社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36"/>
        <w:gridCol w:w="456"/>
        <w:gridCol w:w="2511"/>
        <w:gridCol w:w="1815"/>
        <w:gridCol w:w="1816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4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  <w:t>01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行政运行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222.10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222.10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222.10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222.10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克孜勒苏出版社财政拨款收支预算总体情况表</w:t>
      </w:r>
    </w:p>
    <w:p>
      <w:pPr>
        <w:widowControl/>
        <w:spacing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编制部门：克孜勒苏出版社</w:t>
      </w:r>
      <w:r>
        <w:rPr>
          <w:rFonts w:ascii="仿宋_GB2312" w:hAnsi="宋体" w:eastAsia="仿宋_GB2312"/>
          <w:kern w:val="0"/>
          <w:sz w:val="28"/>
          <w:szCs w:val="28"/>
        </w:rPr>
        <w:t xml:space="preserve">                          </w:t>
      </w:r>
      <w:r>
        <w:rPr>
          <w:rFonts w:hint="eastAsia" w:ascii="仿宋_GB2312" w:hAnsi="宋体" w:eastAsia="仿宋_GB2312"/>
          <w:kern w:val="0"/>
          <w:sz w:val="28"/>
          <w:szCs w:val="28"/>
        </w:rPr>
        <w:t>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能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分</w:t>
            </w: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222.10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222.10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222.10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222.10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208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210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214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215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216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219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220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224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227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229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230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231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232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222.10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222.10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222.10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5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492"/>
        <w:gridCol w:w="463"/>
        <w:gridCol w:w="2488"/>
        <w:gridCol w:w="660"/>
        <w:gridCol w:w="1024"/>
        <w:gridCol w:w="216"/>
        <w:gridCol w:w="162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克孜勒苏出版社一般公共预算支出情况表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编制部门：克孜勒苏出版社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4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4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222.10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222.10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2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222.10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222.10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77"/>
        <w:gridCol w:w="2891"/>
        <w:gridCol w:w="995"/>
        <w:gridCol w:w="706"/>
        <w:gridCol w:w="976"/>
        <w:gridCol w:w="725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克孜勒苏出版社一般公共预算基本支出情况表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编制部门：克孜勒苏出版社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65.33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生活补助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21.29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21.29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80.36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80.36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15.31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12.45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12.45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13.96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222.10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7.07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69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542"/>
        <w:gridCol w:w="439"/>
        <w:gridCol w:w="439"/>
        <w:gridCol w:w="851"/>
        <w:gridCol w:w="1456"/>
        <w:gridCol w:w="740"/>
        <w:gridCol w:w="104"/>
        <w:gridCol w:w="462"/>
        <w:gridCol w:w="533"/>
        <w:gridCol w:w="3"/>
        <w:gridCol w:w="652"/>
        <w:gridCol w:w="652"/>
        <w:gridCol w:w="375"/>
        <w:gridCol w:w="203"/>
        <w:gridCol w:w="419"/>
        <w:gridCol w:w="578"/>
        <w:gridCol w:w="420"/>
        <w:gridCol w:w="420"/>
        <w:gridCol w:w="386"/>
        <w:gridCol w:w="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0" w:type="dxa"/>
          <w:trHeight w:val="375" w:hRule="atLeast"/>
        </w:trPr>
        <w:tc>
          <w:tcPr>
            <w:tcW w:w="9674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克孜勒苏出版社项目支出情况表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10" w:type="dxa"/>
          <w:trHeight w:val="405" w:hRule="atLeast"/>
        </w:trPr>
        <w:tc>
          <w:tcPr>
            <w:tcW w:w="45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编制部门：克孜勒苏出版社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8" w:type="dxa"/>
            <w:gridSpan w:val="4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编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码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6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396" w:type="dxa"/>
            <w:gridSpan w:val="2"/>
            <w:vMerge w:val="restart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550" w:type="dxa"/>
            <w:gridSpan w:val="2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439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439" w:type="dxa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vMerge w:val="continue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>207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>06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>01</w:t>
            </w: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　</w:t>
            </w:r>
            <w:r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  <w:t>0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4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0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3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ascii="仿宋_GB2312" w:hAnsi="宋体" w:eastAsia="仿宋_GB2312"/>
                <w:kern w:val="0"/>
                <w:szCs w:val="21"/>
              </w:rPr>
              <w:t>0</w:t>
            </w:r>
          </w:p>
        </w:tc>
        <w:tc>
          <w:tcPr>
            <w:tcW w:w="56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6" w:type="dxa"/>
            <w:gridSpan w:val="2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备注：克孜勒苏出版社</w:t>
      </w:r>
      <w:r>
        <w:rPr>
          <w:rFonts w:ascii="仿宋_GB2312" w:hAnsi="宋体" w:eastAsia="仿宋_GB2312"/>
          <w:b/>
          <w:kern w:val="0"/>
          <w:sz w:val="28"/>
          <w:szCs w:val="32"/>
        </w:rPr>
        <w:t>2020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年度未安排项目。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编制单位：克孜勒苏出版社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3.5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克孜勒苏出版社政府性基金预算支出情况表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编制单位：克孜勒苏出版社</w:t>
      </w:r>
      <w:r>
        <w:rPr>
          <w:rFonts w:ascii="仿宋_GB2312" w:hAnsi="宋体" w:eastAsia="仿宋_GB2312"/>
          <w:kern w:val="0"/>
          <w:sz w:val="24"/>
        </w:rPr>
        <w:t xml:space="preserve">                                        </w:t>
      </w:r>
      <w:r>
        <w:rPr>
          <w:rFonts w:hint="eastAsia" w:ascii="仿宋_GB2312" w:hAnsi="宋体" w:eastAsia="仿宋_GB2312"/>
          <w:kern w:val="0"/>
          <w:sz w:val="24"/>
        </w:rPr>
        <w:t>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13"/>
        <w:gridCol w:w="513"/>
        <w:gridCol w:w="2818"/>
        <w:gridCol w:w="1524"/>
        <w:gridCol w:w="1661"/>
        <w:gridCol w:w="1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目</w:t>
            </w:r>
          </w:p>
        </w:tc>
        <w:tc>
          <w:tcPr>
            <w:tcW w:w="4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6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207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06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01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备注：克孜勒苏出版社</w:t>
      </w:r>
      <w:r>
        <w:rPr>
          <w:rFonts w:ascii="仿宋_GB2312" w:hAnsi="宋体" w:eastAsia="仿宋_GB2312"/>
          <w:b/>
          <w:kern w:val="0"/>
          <w:sz w:val="28"/>
          <w:szCs w:val="32"/>
        </w:rPr>
        <w:t>2020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年未安排政府性基金。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</w:t>
      </w:r>
      <w:r>
        <w:rPr>
          <w:rFonts w:ascii="黑体" w:hAnsi="黑体" w:eastAsia="黑体"/>
          <w:kern w:val="0"/>
          <w:sz w:val="32"/>
          <w:szCs w:val="32"/>
        </w:rPr>
        <w:t xml:space="preserve">  2020</w:t>
      </w:r>
      <w:r>
        <w:rPr>
          <w:rFonts w:hint="eastAsia" w:ascii="黑体" w:hAnsi="黑体" w:eastAsia="黑体"/>
          <w:kern w:val="0"/>
          <w:sz w:val="32"/>
          <w:szCs w:val="32"/>
        </w:rPr>
        <w:t>年克孜勒苏出版社预算情况说明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按照全口径预算的原则，克孜勒苏出版社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支出预算包括：文化旅游体育与传媒支出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克孜勒苏出版社收入预算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，比上年增加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年度新增预算单位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政府性基金预算未安排。或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ascii="仿宋_GB2312" w:hAnsi="宋体" w:eastAsia="仿宋_GB2312" w:cs="宋体"/>
          <w:kern w:val="0"/>
          <w:sz w:val="32"/>
          <w:szCs w:val="32"/>
        </w:rPr>
        <w:t>0 %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，比上年增加（减少）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万元，主要原因是我单位无政府性基金预算安排的收入。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，比上年增加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年度新增预算单位。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项目支出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，比上年增加（减少）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年度新增预算单位。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四、关于克孜勒苏出版社</w:t>
      </w:r>
      <w:r>
        <w:rPr>
          <w:rFonts w:ascii="黑体" w:hAnsi="黑体" w:eastAsia="黑体" w:cs="宋体"/>
          <w:bCs/>
          <w:kern w:val="0"/>
          <w:sz w:val="32"/>
          <w:szCs w:val="32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27" w:firstLineChars="200"/>
        <w:rPr>
          <w:rFonts w:ascii="仿宋_GB2312" w:hAnsi="宋体" w:eastAsia="仿宋_GB2312" w:cs="宋体"/>
          <w:spacing w:val="-4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无政府性基金预算拨款的部门单位按以下格式填写</w:t>
      </w:r>
      <w:r>
        <w:rPr>
          <w:rFonts w:hint="eastAsia" w:ascii="仿宋_GB2312" w:hAnsi="宋体" w:eastAsia="仿宋_GB2312" w:cs="宋体"/>
          <w:b/>
          <w:spacing w:val="-4"/>
          <w:kern w:val="0"/>
          <w:sz w:val="32"/>
          <w:szCs w:val="32"/>
        </w:rPr>
        <w:t>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年度新增预算单位：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文化体育与传媒（</w:t>
      </w:r>
      <w:r>
        <w:rPr>
          <w:rFonts w:ascii="仿宋_GB2312" w:eastAsia="仿宋_GB2312"/>
          <w:sz w:val="32"/>
          <w:szCs w:val="32"/>
        </w:rPr>
        <w:t>207</w:t>
      </w:r>
      <w:r>
        <w:rPr>
          <w:rFonts w:hint="eastAsia" w:ascii="仿宋_GB2312" w:eastAsia="仿宋_GB2312"/>
          <w:sz w:val="32"/>
          <w:szCs w:val="32"/>
        </w:rPr>
        <w:t>类）</w:t>
      </w:r>
      <w:r>
        <w:rPr>
          <w:rFonts w:ascii="楷体_GB2312" w:eastAsia="楷体_GB2312"/>
          <w:b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2.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出版事业行政运行对应的基本支出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万元，是指人员经费支出和公用经费支出，占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例：文化体育与传媒（</w:t>
      </w:r>
      <w:r>
        <w:rPr>
          <w:rFonts w:ascii="仿宋_GB2312" w:hAnsi="宋体" w:eastAsia="仿宋_GB2312" w:cs="宋体"/>
          <w:kern w:val="0"/>
          <w:sz w:val="32"/>
          <w:szCs w:val="32"/>
        </w:rPr>
        <w:t>207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类）财政事务（</w:t>
      </w:r>
      <w:r>
        <w:rPr>
          <w:rFonts w:ascii="仿宋_GB2312" w:hAnsi="宋体" w:eastAsia="仿宋_GB2312" w:cs="宋体"/>
          <w:kern w:val="0"/>
          <w:sz w:val="32"/>
          <w:szCs w:val="32"/>
        </w:rPr>
        <w:t>06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款）行政运行（</w:t>
      </w:r>
      <w:r>
        <w:rPr>
          <w:rFonts w:ascii="仿宋_GB2312" w:hAnsi="宋体" w:eastAsia="仿宋_GB2312" w:cs="宋体"/>
          <w:kern w:val="0"/>
          <w:sz w:val="32"/>
          <w:szCs w:val="32"/>
        </w:rPr>
        <w:t>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项）</w:t>
      </w:r>
      <w:r>
        <w:rPr>
          <w:rFonts w:ascii="仿宋_GB2312" w:hAnsi="宋体" w:eastAsia="仿宋_GB2312" w:cs="宋体"/>
          <w:kern w:val="0"/>
          <w:sz w:val="32"/>
          <w:szCs w:val="32"/>
        </w:rPr>
        <w:t>:2020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万元，比上年执行数增加</w:t>
      </w:r>
      <w:r>
        <w:rPr>
          <w:rFonts w:ascii="仿宋_GB2312" w:hAnsi="宋体" w:eastAsia="仿宋_GB2312" w:cs="宋体"/>
          <w:kern w:val="0"/>
          <w:sz w:val="32"/>
          <w:szCs w:val="32"/>
        </w:rPr>
        <w:t>222.10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年度新增预算单位。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年一般公共预算基本支出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222.10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ascii="仿宋_GB2312" w:hAnsi="宋体" w:eastAsia="仿宋_GB2312" w:cs="宋体"/>
          <w:kern w:val="0"/>
          <w:sz w:val="32"/>
          <w:szCs w:val="32"/>
        </w:rPr>
        <w:t>215.02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ascii="仿宋_GB2312" w:hAnsi="宋体" w:eastAsia="仿宋_GB2312" w:cs="宋体"/>
          <w:kern w:val="0"/>
          <w:sz w:val="32"/>
          <w:szCs w:val="32"/>
        </w:rPr>
        <w:t>65.33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万元、津贴补贴</w:t>
      </w:r>
      <w:r>
        <w:rPr>
          <w:rFonts w:ascii="仿宋_GB2312" w:hAnsi="宋体" w:eastAsia="仿宋_GB2312" w:cs="宋体"/>
          <w:kern w:val="0"/>
          <w:sz w:val="32"/>
          <w:szCs w:val="32"/>
        </w:rPr>
        <w:t>80.36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万元、奖金</w:t>
      </w:r>
      <w:r>
        <w:rPr>
          <w:rFonts w:ascii="仿宋_GB2312" w:hAnsi="宋体" w:eastAsia="仿宋_GB2312" w:cs="宋体"/>
          <w:kern w:val="0"/>
          <w:sz w:val="32"/>
          <w:szCs w:val="32"/>
        </w:rPr>
        <w:t>5.44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万元、机关事业单位基本养老保险缴费</w:t>
      </w:r>
      <w:r>
        <w:rPr>
          <w:rFonts w:ascii="仿宋_GB2312" w:hAnsi="宋体" w:eastAsia="仿宋_GB2312" w:cs="宋体"/>
          <w:kern w:val="0"/>
          <w:sz w:val="32"/>
          <w:szCs w:val="32"/>
        </w:rPr>
        <w:t>21.29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万元、其他社会保障缴费</w:t>
      </w:r>
      <w:r>
        <w:rPr>
          <w:rFonts w:ascii="仿宋_GB2312" w:hAnsi="宋体" w:eastAsia="仿宋_GB2312" w:cs="宋体"/>
          <w:kern w:val="0"/>
          <w:sz w:val="32"/>
          <w:szCs w:val="32"/>
        </w:rPr>
        <w:t>13.96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万元、住房公积金</w:t>
      </w:r>
      <w:r>
        <w:rPr>
          <w:rFonts w:ascii="仿宋_GB2312" w:hAnsi="宋体" w:eastAsia="仿宋_GB2312" w:cs="宋体"/>
          <w:kern w:val="0"/>
          <w:sz w:val="32"/>
          <w:szCs w:val="32"/>
        </w:rPr>
        <w:t>15.31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万元、退休费</w:t>
      </w:r>
      <w:r>
        <w:rPr>
          <w:rFonts w:ascii="仿宋_GB2312" w:hAnsi="宋体" w:eastAsia="仿宋_GB2312" w:cs="宋体"/>
          <w:kern w:val="0"/>
          <w:sz w:val="32"/>
          <w:szCs w:val="32"/>
        </w:rPr>
        <w:t>12.45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万元、生活补助</w:t>
      </w:r>
      <w:r>
        <w:rPr>
          <w:rFonts w:ascii="仿宋_GB2312" w:hAnsi="宋体" w:eastAsia="仿宋_GB2312" w:cs="宋体"/>
          <w:kern w:val="0"/>
          <w:sz w:val="32"/>
          <w:szCs w:val="32"/>
        </w:rPr>
        <w:t>0.44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万元、奖励金</w:t>
      </w:r>
      <w:r>
        <w:rPr>
          <w:rFonts w:ascii="仿宋_GB2312" w:hAnsi="宋体" w:eastAsia="仿宋_GB2312" w:cs="宋体"/>
          <w:kern w:val="0"/>
          <w:sz w:val="32"/>
          <w:szCs w:val="32"/>
        </w:rPr>
        <w:t>0.44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7.07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ascii="仿宋_GB2312" w:hAnsi="宋体" w:eastAsia="仿宋_GB2312" w:cs="宋体"/>
          <w:kern w:val="0"/>
          <w:sz w:val="32"/>
          <w:szCs w:val="32"/>
        </w:rPr>
        <w:t>1.05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万元、工会经费</w:t>
      </w:r>
      <w:r>
        <w:rPr>
          <w:rFonts w:ascii="仿宋_GB2312" w:hAnsi="宋体" w:eastAsia="仿宋_GB2312" w:cs="宋体"/>
          <w:kern w:val="0"/>
          <w:sz w:val="32"/>
          <w:szCs w:val="32"/>
        </w:rPr>
        <w:t>0.90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万元、福利费</w:t>
      </w:r>
      <w:r>
        <w:rPr>
          <w:rFonts w:ascii="仿宋_GB2312" w:hAnsi="宋体" w:eastAsia="仿宋_GB2312" w:cs="宋体"/>
          <w:kern w:val="0"/>
          <w:sz w:val="32"/>
          <w:szCs w:val="32"/>
        </w:rPr>
        <w:t>1.62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万元、公务用车运行维护费</w:t>
      </w:r>
      <w:r>
        <w:rPr>
          <w:rFonts w:ascii="仿宋_GB2312" w:hAnsi="宋体" w:eastAsia="仿宋_GB2312" w:cs="宋体"/>
          <w:kern w:val="0"/>
          <w:sz w:val="32"/>
          <w:szCs w:val="32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情况一：（项目支出、专项业务费按下列内容说明）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……</w:t>
      </w:r>
    </w:p>
    <w:p>
      <w:pPr>
        <w:spacing w:line="56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情况二：（</w:t>
      </w:r>
      <w:r>
        <w:rPr>
          <w:rFonts w:hint="eastAsia" w:ascii="仿宋_GB2312" w:hAnsi="宋体" w:eastAsia="仿宋_GB2312"/>
          <w:b/>
          <w:sz w:val="32"/>
          <w:szCs w:val="22"/>
        </w:rPr>
        <w:t>属于</w:t>
      </w:r>
      <w:r>
        <w:rPr>
          <w:rFonts w:hint="eastAsia" w:ascii="仿宋_GB2312" w:hAnsi="宋体" w:eastAsia="仿宋_GB2312"/>
          <w:b/>
          <w:spacing w:val="-8"/>
          <w:sz w:val="32"/>
          <w:szCs w:val="22"/>
        </w:rPr>
        <w:t>对个人补贴的项目支出</w:t>
      </w:r>
      <w:r>
        <w:rPr>
          <w:rFonts w:hint="eastAsia" w:ascii="仿宋_GB2312" w:hAnsi="黑体" w:eastAsia="仿宋_GB2312"/>
          <w:b/>
          <w:sz w:val="32"/>
          <w:szCs w:val="32"/>
        </w:rPr>
        <w:t>按下列内容说明）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项目名称：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设立的政策依据：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预算安排规模：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项目承担单位：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资金分配情况：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资金执行时间：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/>
          <w:sz w:val="32"/>
          <w:szCs w:val="22"/>
        </w:rPr>
        <w:t>资金来源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/>
          <w:sz w:val="32"/>
          <w:szCs w:val="22"/>
        </w:rPr>
        <w:t>补贴人数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/>
          <w:sz w:val="32"/>
          <w:szCs w:val="22"/>
        </w:rPr>
        <w:t>补贴标准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/>
          <w:sz w:val="32"/>
          <w:szCs w:val="22"/>
        </w:rPr>
        <w:t>补贴范围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22"/>
        </w:rPr>
        <w:t>补贴方式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发放程序：无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22"/>
        </w:rPr>
        <w:t>受益人群和社会效益</w:t>
      </w:r>
      <w:r>
        <w:rPr>
          <w:rFonts w:hint="eastAsia" w:ascii="仿宋_GB2312" w:hAnsi="黑体" w:eastAsia="仿宋_GB2312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年“三公”经费财政拨款预算数为</w:t>
      </w:r>
      <w:r>
        <w:rPr>
          <w:rFonts w:ascii="仿宋_GB2312" w:hAnsi="宋体" w:eastAsia="仿宋_GB2312" w:cs="宋体"/>
          <w:kern w:val="0"/>
          <w:sz w:val="32"/>
          <w:szCs w:val="32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万元，公务用车购置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万元，公务用车运行费</w:t>
      </w:r>
      <w:r>
        <w:rPr>
          <w:rFonts w:ascii="仿宋_GB2312" w:hAnsi="宋体" w:eastAsia="仿宋_GB2312" w:cs="宋体"/>
          <w:kern w:val="0"/>
          <w:sz w:val="32"/>
          <w:szCs w:val="32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“三公”经费财政拨款预算比上年增加</w:t>
      </w:r>
      <w:r>
        <w:rPr>
          <w:rFonts w:ascii="仿宋_GB2312" w:hAnsi="宋体" w:eastAsia="仿宋_GB2312" w:cs="宋体"/>
          <w:kern w:val="0"/>
          <w:sz w:val="32"/>
          <w:szCs w:val="32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年度未安排预算；公务用车购置费为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，未安排预算。</w:t>
      </w:r>
      <w:r>
        <w:rPr>
          <w:rFonts w:ascii="仿宋_GB2312" w:hAnsi="宋体" w:eastAsia="仿宋_GB2312" w:cs="宋体"/>
          <w:kern w:val="0"/>
          <w:sz w:val="32"/>
          <w:szCs w:val="32"/>
        </w:rPr>
        <w:t>[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或公务用车购置费增加（减少）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万元，主要原因是未安排预算</w:t>
      </w:r>
      <w:r>
        <w:rPr>
          <w:rFonts w:ascii="仿宋_GB2312" w:hAnsi="宋体" w:eastAsia="仿宋_GB2312" w:cs="宋体"/>
          <w:kern w:val="0"/>
          <w:sz w:val="32"/>
          <w:szCs w:val="32"/>
        </w:rPr>
        <w:t>]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；公务用车运行费增加</w:t>
      </w:r>
      <w:r>
        <w:rPr>
          <w:rFonts w:ascii="仿宋_GB2312" w:hAnsi="宋体" w:eastAsia="仿宋_GB2312" w:cs="宋体"/>
          <w:kern w:val="0"/>
          <w:sz w:val="32"/>
          <w:szCs w:val="32"/>
        </w:rPr>
        <w:t>3.5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年度新增预算单位；公务接待费增加（减少）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年我社未安排预算。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九、关于克孜勒苏出版社</w:t>
      </w:r>
      <w:r>
        <w:rPr>
          <w:rFonts w:ascii="黑体" w:hAnsi="宋体" w:eastAsia="黑体" w:cs="宋体"/>
          <w:kern w:val="0"/>
          <w:sz w:val="32"/>
          <w:szCs w:val="32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年克孜勒苏出版社机关运行经费财政拨款预算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4.55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ascii="仿宋_GB2312" w:hAnsi="宋体" w:eastAsia="仿宋_GB2312" w:cs="宋体"/>
          <w:kern w:val="0"/>
          <w:sz w:val="32"/>
          <w:szCs w:val="32"/>
        </w:rPr>
        <w:t>4.55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ascii="仿宋_GB2312" w:hAnsi="宋体" w:eastAsia="仿宋_GB2312" w:cs="宋体"/>
          <w:kern w:val="0"/>
          <w:sz w:val="32"/>
          <w:szCs w:val="32"/>
        </w:rPr>
        <w:t>100%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。主要原因是我社</w:t>
      </w: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年度新增预算单位。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年克孜勒苏出版社政府采购预算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仿宋_GB2312" w:eastAsia="仿宋_GB2312"/>
          <w:sz w:val="32"/>
        </w:rPr>
        <w:t>2020</w:t>
      </w:r>
      <w:r>
        <w:rPr>
          <w:rFonts w:hint="eastAsia" w:ascii="仿宋_GB2312" w:hAnsi="仿宋_GB2312" w:eastAsia="仿宋_GB2312"/>
          <w:sz w:val="32"/>
        </w:rPr>
        <w:t>年度克孜勒苏出版社面向中小企业预留政府采购项目预算金额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ascii="仿宋_GB2312" w:hAnsi="仿宋_GB2312" w:eastAsia="仿宋_GB2312"/>
          <w:sz w:val="32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ascii="仿宋_GB2312" w:hAnsi="宋体" w:eastAsia="仿宋_GB2312" w:cs="宋体"/>
          <w:kern w:val="0"/>
          <w:sz w:val="32"/>
          <w:szCs w:val="32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年底，克孜勒苏出版社占用使用国有资产总体情况为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房屋</w:t>
      </w:r>
      <w:r>
        <w:rPr>
          <w:rFonts w:ascii="仿宋_GB2312" w:hAnsi="宋体" w:eastAsia="仿宋_GB2312" w:cs="宋体"/>
          <w:kern w:val="0"/>
          <w:sz w:val="32"/>
          <w:szCs w:val="32"/>
        </w:rPr>
        <w:t>1421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56.4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车辆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35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办公家具价值</w:t>
      </w:r>
      <w:r>
        <w:rPr>
          <w:rFonts w:ascii="仿宋_GB2312" w:hAnsi="宋体" w:eastAsia="仿宋_GB2312" w:cs="宋体"/>
          <w:kern w:val="0"/>
          <w:sz w:val="32"/>
          <w:szCs w:val="32"/>
        </w:rPr>
        <w:t>0.11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其他资产价值</w:t>
      </w:r>
      <w:r>
        <w:rPr>
          <w:rFonts w:ascii="仿宋_GB2312" w:hAnsi="宋体" w:eastAsia="仿宋_GB2312" w:cs="宋体"/>
          <w:kern w:val="0"/>
          <w:sz w:val="32"/>
          <w:szCs w:val="32"/>
        </w:rPr>
        <w:t>340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年克孜勒苏出版社预算未安排购置车辆经费，安排购置</w:t>
      </w:r>
      <w:r>
        <w:rPr>
          <w:rFonts w:ascii="仿宋_GB2312" w:hAnsi="宋体" w:eastAsia="仿宋_GB2312" w:cs="宋体"/>
          <w:kern w:val="0"/>
          <w:sz w:val="32"/>
          <w:szCs w:val="32"/>
        </w:rPr>
        <w:t>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</w:t>
      </w:r>
      <w:r>
        <w:rPr>
          <w:rFonts w:ascii="仿宋_GB2312" w:hAnsi="宋体" w:eastAsia="仿宋_GB2312" w:cs="宋体"/>
          <w:kern w:val="0"/>
          <w:sz w:val="32"/>
          <w:szCs w:val="32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万元以上大型设备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ascii="仿宋_GB2312" w:hAnsi="宋体" w:eastAsia="仿宋_GB2312" w:cs="宋体"/>
          <w:kern w:val="0"/>
          <w:sz w:val="32"/>
          <w:szCs w:val="32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支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出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绩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效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目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标</w:t>
            </w:r>
            <w:r>
              <w:rPr>
                <w:rFonts w:ascii="仿宋_GB2312" w:hAnsi="宋体" w:eastAsia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克孜勒苏出版社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克孜勒苏出版社没有其他需说明事项。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</w:t>
      </w:r>
      <w:r>
        <w:rPr>
          <w:rFonts w:ascii="黑体" w:hAnsi="黑体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kern w:val="0"/>
          <w:sz w:val="32"/>
          <w:szCs w:val="32"/>
        </w:rPr>
        <w:t>名词解释</w:t>
      </w:r>
    </w:p>
    <w:p>
      <w:pPr>
        <w:widowControl/>
        <w:spacing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克孜勒苏柯尔克孜自治州出版社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 xml:space="preserve">                                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6C8F"/>
    <w:multiLevelType w:val="multilevel"/>
    <w:tmpl w:val="7D8D6C8F"/>
    <w:lvl w:ilvl="0" w:tentative="0">
      <w:start w:val="1"/>
      <w:numFmt w:val="japaneseCounting"/>
      <w:lvlText w:val="%1、"/>
      <w:lvlJc w:val="left"/>
      <w:pPr>
        <w:tabs>
          <w:tab w:val="left" w:pos="1350"/>
        </w:tabs>
        <w:ind w:left="135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470"/>
        </w:tabs>
        <w:ind w:left="147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890"/>
        </w:tabs>
        <w:ind w:left="189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730"/>
        </w:tabs>
        <w:ind w:left="273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150"/>
        </w:tabs>
        <w:ind w:left="315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990"/>
        </w:tabs>
        <w:ind w:left="399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21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CD5"/>
    <w:rsid w:val="00001DA1"/>
    <w:rsid w:val="00002D96"/>
    <w:rsid w:val="00004113"/>
    <w:rsid w:val="00012D28"/>
    <w:rsid w:val="00032AE8"/>
    <w:rsid w:val="00033B69"/>
    <w:rsid w:val="000343F0"/>
    <w:rsid w:val="00072F22"/>
    <w:rsid w:val="0008503D"/>
    <w:rsid w:val="000B14AB"/>
    <w:rsid w:val="000C6E65"/>
    <w:rsid w:val="000D56B0"/>
    <w:rsid w:val="000F65CB"/>
    <w:rsid w:val="00106382"/>
    <w:rsid w:val="00114DEC"/>
    <w:rsid w:val="00115754"/>
    <w:rsid w:val="001159F0"/>
    <w:rsid w:val="00124B9F"/>
    <w:rsid w:val="001917CC"/>
    <w:rsid w:val="001934F0"/>
    <w:rsid w:val="001C5450"/>
    <w:rsid w:val="001E29CB"/>
    <w:rsid w:val="001E418E"/>
    <w:rsid w:val="0020460A"/>
    <w:rsid w:val="002150BF"/>
    <w:rsid w:val="0023522E"/>
    <w:rsid w:val="002673C1"/>
    <w:rsid w:val="00285F6D"/>
    <w:rsid w:val="00297AD9"/>
    <w:rsid w:val="002A718B"/>
    <w:rsid w:val="002C1114"/>
    <w:rsid w:val="002C2E1A"/>
    <w:rsid w:val="00305D05"/>
    <w:rsid w:val="00324290"/>
    <w:rsid w:val="00334F47"/>
    <w:rsid w:val="003420FC"/>
    <w:rsid w:val="00387451"/>
    <w:rsid w:val="003874AF"/>
    <w:rsid w:val="003B1839"/>
    <w:rsid w:val="003D5681"/>
    <w:rsid w:val="004003C7"/>
    <w:rsid w:val="00405EBC"/>
    <w:rsid w:val="00407C14"/>
    <w:rsid w:val="004142B2"/>
    <w:rsid w:val="00432267"/>
    <w:rsid w:val="004570B4"/>
    <w:rsid w:val="00481CD5"/>
    <w:rsid w:val="004B4276"/>
    <w:rsid w:val="00546A35"/>
    <w:rsid w:val="00547AD5"/>
    <w:rsid w:val="0056042D"/>
    <w:rsid w:val="005A3EDA"/>
    <w:rsid w:val="005C42E0"/>
    <w:rsid w:val="005C734E"/>
    <w:rsid w:val="005D0B0D"/>
    <w:rsid w:val="005D177D"/>
    <w:rsid w:val="005E238F"/>
    <w:rsid w:val="00610061"/>
    <w:rsid w:val="00643145"/>
    <w:rsid w:val="006D1CED"/>
    <w:rsid w:val="006E7F1C"/>
    <w:rsid w:val="0070342C"/>
    <w:rsid w:val="00756F65"/>
    <w:rsid w:val="00775101"/>
    <w:rsid w:val="007C6E19"/>
    <w:rsid w:val="007D08BD"/>
    <w:rsid w:val="0080092B"/>
    <w:rsid w:val="008071B6"/>
    <w:rsid w:val="008160EE"/>
    <w:rsid w:val="008B588A"/>
    <w:rsid w:val="008D6E02"/>
    <w:rsid w:val="00925E40"/>
    <w:rsid w:val="00927465"/>
    <w:rsid w:val="00970166"/>
    <w:rsid w:val="009A4CB8"/>
    <w:rsid w:val="009D0AA2"/>
    <w:rsid w:val="009E5F1B"/>
    <w:rsid w:val="00A20053"/>
    <w:rsid w:val="00A50B46"/>
    <w:rsid w:val="00A972AC"/>
    <w:rsid w:val="00B22D8A"/>
    <w:rsid w:val="00B94BB0"/>
    <w:rsid w:val="00B956CA"/>
    <w:rsid w:val="00BA13DB"/>
    <w:rsid w:val="00BB3BD1"/>
    <w:rsid w:val="00BC000F"/>
    <w:rsid w:val="00BF3F08"/>
    <w:rsid w:val="00C313DF"/>
    <w:rsid w:val="00CB67B7"/>
    <w:rsid w:val="00CC33FB"/>
    <w:rsid w:val="00D06D6F"/>
    <w:rsid w:val="00D51B0C"/>
    <w:rsid w:val="00D606C1"/>
    <w:rsid w:val="00D643BF"/>
    <w:rsid w:val="00D70A69"/>
    <w:rsid w:val="00D74AB9"/>
    <w:rsid w:val="00DA6C62"/>
    <w:rsid w:val="00DB1CD4"/>
    <w:rsid w:val="00DC0639"/>
    <w:rsid w:val="00DC305F"/>
    <w:rsid w:val="00DC4671"/>
    <w:rsid w:val="00E2702C"/>
    <w:rsid w:val="00E43C86"/>
    <w:rsid w:val="00E469CA"/>
    <w:rsid w:val="00E64F2E"/>
    <w:rsid w:val="00E7167C"/>
    <w:rsid w:val="00E77CE5"/>
    <w:rsid w:val="00E82666"/>
    <w:rsid w:val="00EF6D41"/>
    <w:rsid w:val="00F1493C"/>
    <w:rsid w:val="00F457EC"/>
    <w:rsid w:val="00F94108"/>
    <w:rsid w:val="27DA7730"/>
    <w:rsid w:val="4B100CDF"/>
    <w:rsid w:val="591C4305"/>
    <w:rsid w:val="6AD234AF"/>
    <w:rsid w:val="6D0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5"/>
    <w:qFormat/>
    <w:uiPriority w:val="99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kern w:val="0"/>
      <w:sz w:val="32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Balloon Text Char"/>
    <w:basedOn w:val="9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13">
    <w:name w:val="Footer Char"/>
    <w:basedOn w:val="9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3 Char"/>
    <w:basedOn w:val="9"/>
    <w:link w:val="5"/>
    <w:qFormat/>
    <w:locked/>
    <w:uiPriority w:val="99"/>
    <w:rPr>
      <w:rFonts w:ascii="Times New Roman" w:hAnsi="Times New Roman" w:eastAsia="仿宋_GB2312" w:cs="Times New Roman"/>
      <w:sz w:val="24"/>
    </w:rPr>
  </w:style>
  <w:style w:type="paragraph" w:customStyle="1" w:styleId="16">
    <w:name w:val="f1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7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9">
    <w:name w:val="页脚 字符1"/>
    <w:qFormat/>
    <w:uiPriority w:val="99"/>
    <w:rPr>
      <w:rFonts w:ascii="Times New Roman" w:hAnsi="Times New Roman" w:eastAsia="黑体"/>
      <w:snapToGrid w:val="0"/>
      <w:kern w:val="0"/>
      <w:sz w:val="18"/>
    </w:rPr>
  </w:style>
  <w:style w:type="character" w:customStyle="1" w:styleId="20">
    <w:name w:val="页眉 字符1"/>
    <w:qFormat/>
    <w:uiPriority w:val="99"/>
    <w:rPr>
      <w:rFonts w:ascii="Times New Roman" w:hAnsi="Times New Roman" w:eastAsia="宋体"/>
      <w:sz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99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99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99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23</Pages>
  <Words>1475</Words>
  <Characters>8411</Characters>
  <Lines>0</Lines>
  <Paragraphs>0</Paragraphs>
  <TotalTime>42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2020-11-28T11:30:00Z</cp:lastPrinted>
  <dcterms:modified xsi:type="dcterms:W3CDTF">2022-03-29T09:32:06Z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