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计划生育药具管理站2020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widowControl/>
        <w:spacing w:line="460" w:lineRule="exact"/>
        <w:jc w:val="center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60" w:lineRule="exact"/>
        <w:jc w:val="center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60" w:lineRule="exact"/>
        <w:jc w:val="center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目 录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第一部分 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克州计生药具站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第二部分 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第三部分 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四、关于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八、关于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九、关于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克州计生药具站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42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克州计划生育药具站的工作职能包括：贯彻执行国家、自治区有关计划生育法律、法规和方针、政策；制定全州计划生育避孕药具发展规划并负责组织实施；组织或协同开展计生避孕药具科学研究、技术推广和药具知识培训；指导计生药具站数字化服务网络建设，组织开展数字化服务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克州计划生育药具站单位无下属预算单位，无下设科室。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克州计划生育药具站单位编制数</w:t>
      </w:r>
      <w:r>
        <w:rPr>
          <w:rFonts w:ascii="仿宋_GB2312" w:hAnsi="黑体" w:eastAsia="仿宋_GB2312"/>
          <w:bCs/>
          <w:sz w:val="32"/>
          <w:szCs w:val="32"/>
        </w:rPr>
        <w:t>4</w:t>
      </w:r>
      <w:r>
        <w:rPr>
          <w:rFonts w:hint="eastAsia" w:ascii="仿宋_GB2312" w:hAnsi="黑体" w:eastAsia="仿宋_GB2312"/>
          <w:bCs/>
          <w:sz w:val="32"/>
          <w:szCs w:val="32"/>
        </w:rPr>
        <w:t>名，实有人数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人，其中：在职4人，增加或减少0人；退休</w:t>
      </w: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人，增加或减少0人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离休0人，增加或减少0人。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克州计生药具站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53.45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53.54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53.45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53.45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58.45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克州计生药具站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10"/>
        <w:tblW w:w="10047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5"/>
        <w:gridCol w:w="510"/>
        <w:gridCol w:w="938"/>
        <w:gridCol w:w="735"/>
        <w:gridCol w:w="791"/>
        <w:gridCol w:w="480"/>
        <w:gridCol w:w="439"/>
        <w:gridCol w:w="568"/>
        <w:gridCol w:w="506"/>
        <w:gridCol w:w="699"/>
        <w:gridCol w:w="646"/>
        <w:gridCol w:w="380"/>
        <w:gridCol w:w="951"/>
        <w:gridCol w:w="1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其他计划生育事务支出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58.45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53.45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58.45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53.45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克州计生药具站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其他计划生育事务支出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58.45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58.45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58.45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58.45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克州计生药具站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53.45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53.45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53.45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53.45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53.45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53.45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505"/>
        <w:gridCol w:w="2422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克州计生药具站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其他计划生育事务支出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53.45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53.45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975"/>
        <w:gridCol w:w="2355"/>
        <w:gridCol w:w="1800"/>
        <w:gridCol w:w="165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85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克州计生药具站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35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53.45 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克州计生药具站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克州计划生育药具站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2020年度没有安排项目预算。</w:t>
      </w:r>
    </w:p>
    <w:p>
      <w:pPr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克州计生药具站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克州计生药具站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outlineLvl w:val="1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克州计划生育药具站20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年没有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安排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政府性基金预算，政府性基金预算支出情况表为空表。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53.45万元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上级补助收入3万元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支出预算包括：医疗卫生健康支出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58.45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克州计生药具站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单位人员正常调资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2020年上级补助3万元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单位上年结余（不包括国库集中支付额度结余）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2019年没有结余。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增加上级补助资金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2万元，上年有结余资金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项目支出0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支出预算包括：医疗卫生健康支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53.45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51.01万元，公用经费2.44万元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执行数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2019年执行数包含年终绩效工资，2020年预算未安排。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其中：基本支出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53.45万元，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人员经费及公用经费等。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0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卫生健康支出（21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）计划生育事务（07）其他计划生育事务支出（99）:20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2019年执行数包含年终绩效工资，2020年预算未安排。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5.28万元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00" w:lineRule="exact"/>
        <w:ind w:firstLine="642"/>
        <w:jc w:val="left"/>
        <w:rPr>
          <w:rFonts w:hint="eastAsia" w:ascii="仿宋_GB2312" w:hAnsi="黑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/>
          <w:b/>
          <w:sz w:val="32"/>
          <w:szCs w:val="32"/>
        </w:rPr>
        <w:t>专项业务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费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目名称：无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设立的政策依据：无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资金执行时间：无</w:t>
      </w:r>
    </w:p>
    <w:p>
      <w:pPr>
        <w:spacing w:line="500" w:lineRule="exact"/>
        <w:ind w:firstLine="642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情况二：对个人补贴的项目支出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设立的政策依据：无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资金来源：无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补贴人数：无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补贴标准：无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补贴范围：无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补贴方式：无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发放程序：无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受益人群和社会效益：无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克州计生药具站2020年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万元，其中：因公出国（境）费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万元，公务用车购置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[或公务用车购置费增加（减少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与2019年预算一致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与2019年预算一致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克州计生药具站2020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克州计划生育药具站20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年，克州计划生育药具站本级及下属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增加了工会费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福利费。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2020年，克州计生药具站部门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万元，其中：政府采购货物预算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万元，政府采购服务预算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万元，其中：面向小微企业预留政府采购项目预算金额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克州计生药具站部门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2020年克州计生药具站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克州计生药具站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560" w:lineRule="exact"/>
        <w:ind w:firstLine="627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eastAsia="zh-CN"/>
        </w:rPr>
        <w:t>克州计划生育药具站无其他说明事项。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</w:t>
      </w:r>
    </w:p>
    <w:p/>
    <w:p>
      <w:pPr>
        <w:widowControl/>
        <w:spacing w:line="520" w:lineRule="exact"/>
        <w:ind w:firstLine="5120" w:firstLine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克州计生药具站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785438A"/>
    <w:rsid w:val="11E266B1"/>
    <w:rsid w:val="1A606761"/>
    <w:rsid w:val="24F815FF"/>
    <w:rsid w:val="26E060F7"/>
    <w:rsid w:val="27CA5EBB"/>
    <w:rsid w:val="2E8B254D"/>
    <w:rsid w:val="327D3E79"/>
    <w:rsid w:val="36D250D4"/>
    <w:rsid w:val="3878347F"/>
    <w:rsid w:val="3E2F78A2"/>
    <w:rsid w:val="3EB24535"/>
    <w:rsid w:val="3EE5763E"/>
    <w:rsid w:val="43D439EB"/>
    <w:rsid w:val="466A2DDD"/>
    <w:rsid w:val="47434490"/>
    <w:rsid w:val="489E2F6F"/>
    <w:rsid w:val="556B0B1B"/>
    <w:rsid w:val="574A7102"/>
    <w:rsid w:val="58CF7803"/>
    <w:rsid w:val="590F49C3"/>
    <w:rsid w:val="5AFD5792"/>
    <w:rsid w:val="5C755AEC"/>
    <w:rsid w:val="5CFA6217"/>
    <w:rsid w:val="615D3CEF"/>
    <w:rsid w:val="62045FD3"/>
    <w:rsid w:val="6551602D"/>
    <w:rsid w:val="67636892"/>
    <w:rsid w:val="69FF60E3"/>
    <w:rsid w:val="6F4F47C6"/>
    <w:rsid w:val="6F730CC4"/>
    <w:rsid w:val="6FE53A53"/>
    <w:rsid w:val="743A0594"/>
    <w:rsid w:val="75561204"/>
    <w:rsid w:val="77AB7F98"/>
    <w:rsid w:val="78A011DA"/>
    <w:rsid w:val="797B7ED0"/>
    <w:rsid w:val="7BE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5</TotalTime>
  <ScaleCrop>false</ScaleCrop>
  <LinksUpToDate>false</LinksUpToDate>
  <CharactersWithSpaces>10542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 ﹏〆学荟緈諨</cp:lastModifiedBy>
  <cp:lastPrinted>2020-01-17T11:19:00Z</cp:lastPrinted>
  <dcterms:modified xsi:type="dcterms:W3CDTF">2020-01-21T03:04:39Z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