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美术馆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3960" w:firstLineChars="1100"/>
        <w:jc w:val="both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美术馆作为一个公益性与事业性并重的机构须具备多项职能：收藏、研究、展览、教育等。克州美术馆可以通过展览向公众传达价值取向，提高公众的审美品位，丰富大众的日常生活，启迪公众发挥想象力和思考问题，从侧面推动社会发展。克州美术馆深入贯彻落实党的十九大精神，深入学习贯彻习近平总书记系列重要讲话精神，紧扣克州党委、人民政府的中心工作，全面贯彻落实自治州党委、政府决策部署，行使好展览的基本职能，本着对艺术家负责，对人民群众负责的宗旨，广泛开展了各式各样的展览和文化活动，特别是多次举办了书面惠民活动，如送书画进部队、进学校等，让公众与书画家的创作过程和作品零距离接触，丰富广大群众的文化生活，提高大众的艺术修养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情况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下属预算单位按以下内容说明：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克州美术馆单位无下属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单位，无下设科室。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编制数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人，其中：在职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人，增加或减少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克州美术馆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95.72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252.33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106.61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252.33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252.33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   单位：万元</w:t>
      </w:r>
    </w:p>
    <w:tbl>
      <w:tblPr>
        <w:tblStyle w:val="7"/>
        <w:tblW w:w="8767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  <w:gridCol w:w="310"/>
        <w:gridCol w:w="1"/>
        <w:gridCol w:w="989"/>
        <w:gridCol w:w="1"/>
        <w:gridCol w:w="609"/>
        <w:gridCol w:w="1"/>
        <w:gridCol w:w="505"/>
        <w:gridCol w:w="1"/>
        <w:gridCol w:w="505"/>
        <w:gridCol w:w="1"/>
        <w:gridCol w:w="505"/>
        <w:gridCol w:w="1"/>
        <w:gridCol w:w="505"/>
        <w:gridCol w:w="1"/>
        <w:gridCol w:w="412"/>
        <w:gridCol w:w="1"/>
        <w:gridCol w:w="570"/>
        <w:gridCol w:w="1"/>
        <w:gridCol w:w="570"/>
        <w:gridCol w:w="1"/>
        <w:gridCol w:w="527"/>
        <w:gridCol w:w="1"/>
        <w:gridCol w:w="309"/>
        <w:gridCol w:w="1"/>
        <w:gridCol w:w="775"/>
        <w:gridCol w:w="1"/>
        <w:gridCol w:w="1042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0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70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207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文化展示及纪念机构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95.72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95.72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207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其他文化和旅游支出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156.61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252.33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文化展示及纪念机构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其他文化和旅游支出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156.61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252.33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156.61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jc w:val="left"/>
        <w:outlineLvl w:val="1"/>
        <w:rPr>
          <w:rFonts w:hint="default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   单位：万元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95.75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克州美术馆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文化展示及纪念机构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克州美术馆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机关事业单位养老保险缴费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其他社会保障费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95.72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1.62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855"/>
        <w:gridCol w:w="863"/>
        <w:gridCol w:w="598"/>
        <w:gridCol w:w="208"/>
        <w:gridCol w:w="1050"/>
        <w:gridCol w:w="389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克州美术馆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85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both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其他文化和旅游支出</w:t>
            </w: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免费开放经费</w:t>
            </w: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ind w:left="0" w:leftChars="0"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156.61</w:t>
            </w: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156.61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156.61</w:t>
            </w:r>
          </w:p>
        </w:tc>
        <w:tc>
          <w:tcPr>
            <w:tcW w:w="80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156.61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单位：万元</w:t>
      </w:r>
    </w:p>
    <w:tbl>
      <w:tblPr>
        <w:tblStyle w:val="7"/>
        <w:tblW w:w="7665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未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安排“三公”的经费支出，所以为空表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克州美术馆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单位：万元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textAlignment w:val="auto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hint="default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克州美术馆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2020年没有使用政府性基金预算拨款安排的支出，政府性基金预算支出情况表为空表。</w:t>
      </w: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252.33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106.61万元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（不包括国库集中支付额度结余）等。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color="FFFFFF" w:fill="D9D9D9"/>
          <w:lang w:val="en-US"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文化体育与传媒支出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252.33万元。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2020年3月、7月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单位工资调资普调，我单位人员工资增加。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106.61万元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</w:rPr>
        <w:t>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42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</w:rPr>
        <w:t xml:space="preserve"> 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15.91元，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</w:rPr>
        <w:t>主要原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</w:rPr>
        <w:t>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：本年开展免费开放活动次数减少，经费使用相对减少。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252.33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:2020年3月事业单位工资普调，我单位人员工资增加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增加156.61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：克州美术馆增加免费开放活动经费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年财政拨款收支总预算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27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无政府性基金预算拨款的部门单位按以下格式填写</w:t>
      </w: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开除人员恢复工作增加工资，养老缴费，社会缴费。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文化体育旅游与传媒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100%。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克州美术馆相对应的基本支出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100%，包括人员经费95.72万元和公用经费1.62万元。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文化体育与传媒支出（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）文化和旅游（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）刑侦运行（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95.72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2020年3月事业单位工资普调，人员工资增加。开除人员恢复工作，工资增加，养老缴费，社会缴费。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hint="default" w:ascii="仿宋_GB2312" w:hAnsi="宋体" w:eastAsia="楷体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单位上年结余（不包括国库集中支付额度结余）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106.61万元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%，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比上年增加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15.91元，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主要原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：本年开展免费开放活动次数减少，经费使用相对减少。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 其中：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9.41万元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其他社会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6.78万元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2.6万元、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0.72万元、办公费0.5万元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免费开放经费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公共文化服务体系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按实际运用情况开放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我单位未安排因公出国人员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年初预算未安排公务用车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主要原因是克州美术馆属于克州文化体育和旅游局二级单位（科级单位），接待由上级单位克州文化体育和旅游局承担。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2020年没有使用政府性基金预算拨款安排的支出，政府性基金预算支出情况为空表.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：工会经费增加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0.05万元，福利费增加0.08万元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万元，其中：政府采购货物预算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万元，政府采购服务预算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 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 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克州美术馆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22.31万元。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，为通用设备。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519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803" w:type="dxa"/>
        <w:tblInd w:w="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克州美术馆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群众工作人员生活补助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宋体" w:eastAsia="仿宋_GB2312"/>
                <w:sz w:val="24"/>
                <w:szCs w:val="24"/>
              </w:rPr>
              <w:t>受益人群和社会效益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通过开展丰富多彩的群众文化活动，让农民群众参与其中，接受各种文化艺术的熏陶，从而提高全民素质，推进经济和社会的繁荣进步。更好地发挥干部群众鱼水之情，取得良好的社会效益。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</w:tblPrEx>
        <w:trPr>
          <w:trHeight w:val="271" w:hRule="atLeast"/>
        </w:trPr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2020年1月-12月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1人每月0.2万元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开展各种各样的文艺活动，提高广大群众的对文化艺术的需求。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让农民群众参与其中，接受各种文化艺术的熏陶，从而提高全民素质，推进经济和社会的繁荣进步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83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/>
                <w:sz w:val="24"/>
                <w:szCs w:val="24"/>
              </w:rPr>
              <w:t>受益人群和社会效益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通过开展丰富多彩的群众文化活动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556" w:right="1440" w:bottom="782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克孜勒苏柯尔克孜自治州美术馆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1254E2"/>
    <w:rsid w:val="03291047"/>
    <w:rsid w:val="04246FD1"/>
    <w:rsid w:val="05F910B1"/>
    <w:rsid w:val="08285161"/>
    <w:rsid w:val="09FE52F3"/>
    <w:rsid w:val="0C7203C2"/>
    <w:rsid w:val="0E3E7B35"/>
    <w:rsid w:val="0E905FE1"/>
    <w:rsid w:val="0ED17F8B"/>
    <w:rsid w:val="10376E35"/>
    <w:rsid w:val="13460186"/>
    <w:rsid w:val="16062E76"/>
    <w:rsid w:val="167C518A"/>
    <w:rsid w:val="17C14727"/>
    <w:rsid w:val="197101E0"/>
    <w:rsid w:val="19D81D67"/>
    <w:rsid w:val="1A7A7EA5"/>
    <w:rsid w:val="1D146B2F"/>
    <w:rsid w:val="1D9919DD"/>
    <w:rsid w:val="1EB57224"/>
    <w:rsid w:val="1EFF7E30"/>
    <w:rsid w:val="210C46CD"/>
    <w:rsid w:val="21BD0F58"/>
    <w:rsid w:val="236E59BF"/>
    <w:rsid w:val="236F2979"/>
    <w:rsid w:val="25640854"/>
    <w:rsid w:val="269E5EC0"/>
    <w:rsid w:val="2C7821B1"/>
    <w:rsid w:val="2E4E0046"/>
    <w:rsid w:val="32E5024C"/>
    <w:rsid w:val="32EF4BAB"/>
    <w:rsid w:val="33933893"/>
    <w:rsid w:val="34641FC5"/>
    <w:rsid w:val="3C660B61"/>
    <w:rsid w:val="3D360D2C"/>
    <w:rsid w:val="3D474AE3"/>
    <w:rsid w:val="43DE68E3"/>
    <w:rsid w:val="49E15B05"/>
    <w:rsid w:val="4EB76D82"/>
    <w:rsid w:val="504522C8"/>
    <w:rsid w:val="50FB0664"/>
    <w:rsid w:val="5263725C"/>
    <w:rsid w:val="531324D2"/>
    <w:rsid w:val="543F096E"/>
    <w:rsid w:val="57707305"/>
    <w:rsid w:val="58600763"/>
    <w:rsid w:val="586025A6"/>
    <w:rsid w:val="58DA169A"/>
    <w:rsid w:val="5A6328B9"/>
    <w:rsid w:val="5B2529A7"/>
    <w:rsid w:val="5BF206F5"/>
    <w:rsid w:val="5C6B4253"/>
    <w:rsid w:val="5CA90C84"/>
    <w:rsid w:val="5CE55219"/>
    <w:rsid w:val="5D020C0B"/>
    <w:rsid w:val="5D4536BE"/>
    <w:rsid w:val="5E293F8B"/>
    <w:rsid w:val="5F8D5AEF"/>
    <w:rsid w:val="64F57E58"/>
    <w:rsid w:val="66D64C5A"/>
    <w:rsid w:val="67456DD3"/>
    <w:rsid w:val="67FC7418"/>
    <w:rsid w:val="68880285"/>
    <w:rsid w:val="6AA2395C"/>
    <w:rsid w:val="6BE0292D"/>
    <w:rsid w:val="6C465D66"/>
    <w:rsid w:val="6FA87085"/>
    <w:rsid w:val="70073743"/>
    <w:rsid w:val="70853942"/>
    <w:rsid w:val="70C34F36"/>
    <w:rsid w:val="70F30F7C"/>
    <w:rsid w:val="71282BC0"/>
    <w:rsid w:val="74666003"/>
    <w:rsid w:val="76CF3A49"/>
    <w:rsid w:val="76F32A8E"/>
    <w:rsid w:val="79D633DB"/>
    <w:rsid w:val="7A4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19</TotalTime>
  <ScaleCrop>false</ScaleCrop>
  <LinksUpToDate>false</LinksUpToDate>
  <CharactersWithSpaces>10542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2020-12-01T03:00:00Z</cp:lastPrinted>
  <dcterms:modified xsi:type="dcterms:W3CDTF">2020-12-02T04:09:47Z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