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克孜勒苏柯尔克孜自治州政府办公室2020年部门预算公开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克州政府办公室单位概况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一、关于克州政府办公室2020年收支预算情况的总体说明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二、关于克州政府办公室2020年收入预算情况说明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三、关于克州政府办公室2020年支出预算情况说明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四、关于克州政府办公室2020年财政拨款收支预算情况的总体说明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五、关于克州政府办公室2020年一般公共预算当年拨款情况说明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六、关于克州政府办公室2020年一般公共预算基本支出情况说明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七、关于克州政府办公室2020年项目支出情况说明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八、关于克州政府办公室2020年一般公共预算“三公”经费预算情况说明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九、关于克州政府办公室2020年政府性基金预算拨款情况说明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克州政府办公室单位概况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）负责克州人民政府各项决议、决定、重要工作部署以及政府领导重要批示贯彻执行情况的督促检查和跟踪调研，并及时向政府领导报告；负责人大代表建议和政协委员提案的督办工作。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）负责克州人民政府会议的会务、会议纪要整理工作，协助克州人民政府领导同志组织实施会议决定事项。</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协助克州人民政府领导同志组织起草或审核以克州人民政府、克州人民政府办公室名义发布的公文。负责自治州人民政府日常文电处理和日常事务工作。负责自治州人民政府领导同志参加重大活动的组织协调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）研究自治州人民政府各部门和县（市）人民政府请示自治州人民政府的事项，提出审核意见，报自治州人民政府领导同志审定。</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）负责自治州人民政府决策工作的调研研究、政府领导活动记录、政府决策信息的收集、汇总、编报工作。根据自治州人民政府的工作重点，组织专题调查研究、反映情况、提出建议。</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）负责自治州人民政府决策部署相关信息的收集、整理、编发、为经济社会发展提供政务信息服务工作。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）负责自治州人民政府相关日常工作，负责对外联络、综合协调、管理服务工作。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）负责自治州人民政府领导同志召开的相关会议笔译、口译工作，负责相关工作的翻译任务。</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9</w:t>
      </w:r>
      <w:r>
        <w:rPr>
          <w:rFonts w:hint="eastAsia" w:ascii="仿宋_GB2312" w:eastAsia="仿宋_GB2312" w:cs="仿宋_GB2312"/>
          <w:sz w:val="32"/>
          <w:szCs w:val="32"/>
        </w:rPr>
        <w:t>）负责自治州人民政府及政府领导同志的日常事务管理、后勤服务保障工作。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0）负责自治州人民政府系统的政务值班、应急值守和督促检查工作，以及政府领导同志处置各类突发事件的服务保障。</w:t>
      </w:r>
    </w:p>
    <w:p>
      <w:pPr>
        <w:pStyle w:val="6"/>
        <w:shd w:val="clear" w:color="auto" w:fill="FFFFFF"/>
        <w:spacing w:beforeAutospacing="0" w:afterAutospacing="0" w:line="560" w:lineRule="exact"/>
        <w:ind w:firstLine="42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1）负责指导、监督自治州政务公开和政府信息公开工作。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（12）负责推进、指导、协调政府系统电子政务工作。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3）负责自治州人民政府驻外办事机构的管理工作。</w:t>
      </w:r>
    </w:p>
    <w:p>
      <w:pPr>
        <w:pStyle w:val="6"/>
        <w:shd w:val="clear" w:color="auto" w:fill="FFFFFF"/>
        <w:spacing w:beforeAutospacing="0" w:afterAutospacing="0" w:line="560" w:lineRule="exact"/>
        <w:ind w:firstLine="42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14</w:t>
      </w:r>
      <w:r>
        <w:rPr>
          <w:rFonts w:hint="eastAsia" w:ascii="仿宋_GB2312" w:eastAsia="仿宋_GB2312" w:cs="仿宋_GB2312"/>
          <w:sz w:val="32"/>
          <w:szCs w:val="32"/>
        </w:rPr>
        <w:t>）承办自治州人民政府和自治州人民政府领导交办的其他事项。</w:t>
      </w:r>
      <w:r>
        <w:rPr>
          <w:rFonts w:hint="eastAsia" w:ascii="仿宋_GB2312" w:eastAsia="仿宋_GB2312"/>
          <w:bCs/>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政府办公室无下属预算单位，下设12个处室，分别是：公文处理科、秘书一科、秘书二科、综合科、信息科、自治州人民政府督查室、自治州人民政府政务服务办公室、总值班室、政策法规科、人事科、行政财务科、后勤服务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克州政府办公室编制数61，实有人数107人，其中：在职    72人，增加12人； 退休35人，增加或减少0人；离休0人，增加或减少0人。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编制部门：克州政府办公室                                    单位：万元</w:t>
      </w:r>
    </w:p>
    <w:tbl>
      <w:tblPr>
        <w:tblStyle w:val="7"/>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1459.62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1476.62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1459.62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17.00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1476.62</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1476.62</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1483.22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1476.62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填报部门：克州政府办公室                                         单位：万元</w:t>
      </w:r>
    </w:p>
    <w:tbl>
      <w:tblPr>
        <w:tblStyle w:val="7"/>
        <w:tblW w:w="10292" w:type="dxa"/>
        <w:tblInd w:w="-773" w:type="dxa"/>
        <w:tblLayout w:type="autofit"/>
        <w:tblCellMar>
          <w:top w:w="0" w:type="dxa"/>
          <w:left w:w="108" w:type="dxa"/>
          <w:bottom w:w="0" w:type="dxa"/>
          <w:right w:w="108" w:type="dxa"/>
        </w:tblCellMar>
      </w:tblPr>
      <w:tblGrid>
        <w:gridCol w:w="516"/>
        <w:gridCol w:w="417"/>
        <w:gridCol w:w="417"/>
        <w:gridCol w:w="1005"/>
        <w:gridCol w:w="916"/>
        <w:gridCol w:w="916"/>
        <w:gridCol w:w="588"/>
        <w:gridCol w:w="567"/>
        <w:gridCol w:w="567"/>
        <w:gridCol w:w="514"/>
        <w:gridCol w:w="709"/>
        <w:gridCol w:w="567"/>
        <w:gridCol w:w="514"/>
        <w:gridCol w:w="709"/>
        <w:gridCol w:w="1370"/>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67"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56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3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3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37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1483.22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1459.62　</w:t>
            </w:r>
          </w:p>
        </w:tc>
        <w:tc>
          <w:tcPr>
            <w:tcW w:w="58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17</w:t>
            </w:r>
          </w:p>
        </w:tc>
        <w:tc>
          <w:tcPr>
            <w:tcW w:w="709"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6.6</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1483.22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1459.62　</w:t>
            </w:r>
          </w:p>
        </w:tc>
        <w:tc>
          <w:tcPr>
            <w:tcW w:w="5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17</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7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6.6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编制部门：克州政府办公室                                       单位：万元</w:t>
      </w:r>
    </w:p>
    <w:tbl>
      <w:tblPr>
        <w:tblStyle w:val="7"/>
        <w:tblW w:w="9420" w:type="dxa"/>
        <w:tblInd w:w="-240" w:type="dxa"/>
        <w:tblLayout w:type="autofit"/>
        <w:tblCellMar>
          <w:top w:w="0" w:type="dxa"/>
          <w:left w:w="108" w:type="dxa"/>
          <w:bottom w:w="0" w:type="dxa"/>
          <w:right w:w="108" w:type="dxa"/>
        </w:tblCellMar>
      </w:tblPr>
      <w:tblGrid>
        <w:gridCol w:w="549"/>
        <w:gridCol w:w="438"/>
        <w:gridCol w:w="438"/>
        <w:gridCol w:w="2523"/>
        <w:gridCol w:w="1815"/>
        <w:gridCol w:w="1816"/>
        <w:gridCol w:w="1841"/>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201</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03</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01</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行政运行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1352.62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1302.62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50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201</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03</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99</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其他办公厅（室）及相关机构事务支出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124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124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　1476.62</w:t>
            </w:r>
          </w:p>
        </w:tc>
        <w:tc>
          <w:tcPr>
            <w:tcW w:w="1856"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1302.62　</w:t>
            </w:r>
          </w:p>
        </w:tc>
        <w:tc>
          <w:tcPr>
            <w:tcW w:w="1904"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174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克州政府办公室</w:t>
      </w:r>
      <w:r>
        <w:rPr>
          <w:rFonts w:hint="eastAsia" w:ascii="仿宋_GB2312" w:hAnsi="宋体" w:eastAsia="仿宋_GB2312"/>
          <w:kern w:val="0"/>
          <w:sz w:val="28"/>
          <w:szCs w:val="28"/>
        </w:rPr>
        <w:t xml:space="preserve">                                单位：万元</w:t>
      </w:r>
    </w:p>
    <w:tbl>
      <w:tblPr>
        <w:tblStyle w:val="7"/>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1459.62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1459.62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1459.62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1459.62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1459.62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1459.62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1459.62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autofit"/>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编制部门：克州政府办公室</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1352.62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1302.62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50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其他办公厅（室）及相关机构事务支出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107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1459.62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1302.62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682"/>
        <w:gridCol w:w="850"/>
        <w:gridCol w:w="2693"/>
        <w:gridCol w:w="1009"/>
        <w:gridCol w:w="692"/>
        <w:gridCol w:w="990"/>
        <w:gridCol w:w="711"/>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编制部门：克州政府办公室</w:t>
            </w:r>
          </w:p>
        </w:tc>
        <w:tc>
          <w:tcPr>
            <w:tcW w:w="1009"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12"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532"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49" w:hRule="atLeast"/>
        </w:trPr>
        <w:tc>
          <w:tcPr>
            <w:tcW w:w="682"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 w:val="20"/>
                <w:szCs w:val="20"/>
              </w:rPr>
            </w:pPr>
            <w:r>
              <w:rPr>
                <w:rFonts w:hint="eastAsia" w:ascii="宋体" w:hAnsi="宋体"/>
                <w:sz w:val="20"/>
                <w:szCs w:val="20"/>
              </w:rPr>
              <w:t>01</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办公费</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10.00 </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10.00 </w:t>
            </w:r>
          </w:p>
        </w:tc>
      </w:tr>
      <w:tr>
        <w:tblPrEx>
          <w:tblCellMar>
            <w:top w:w="0" w:type="dxa"/>
            <w:left w:w="108" w:type="dxa"/>
            <w:bottom w:w="0" w:type="dxa"/>
            <w:right w:w="108" w:type="dxa"/>
          </w:tblCellMar>
        </w:tblPrEx>
        <w:trPr>
          <w:trHeight w:val="426"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31</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93.60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93.60 </w:t>
            </w:r>
          </w:p>
        </w:tc>
      </w:tr>
      <w:tr>
        <w:tblPrEx>
          <w:tblCellMar>
            <w:top w:w="0" w:type="dxa"/>
            <w:left w:w="108" w:type="dxa"/>
            <w:bottom w:w="0" w:type="dxa"/>
            <w:right w:w="108" w:type="dxa"/>
          </w:tblCellMar>
        </w:tblPrEx>
        <w:trPr>
          <w:trHeight w:val="404"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301</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13</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78.20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78.20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23"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303</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09</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4.09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4.09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16"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14</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租赁费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50"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301</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08</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108.49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108.49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44"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301</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01</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331.92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331.92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22"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303</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02</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30.52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30.52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40"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99</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391"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29</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8.42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8.42 </w:t>
            </w:r>
          </w:p>
        </w:tc>
      </w:tr>
      <w:tr>
        <w:tblPrEx>
          <w:tblCellMar>
            <w:top w:w="0" w:type="dxa"/>
            <w:left w:w="108" w:type="dxa"/>
            <w:bottom w:w="0" w:type="dxa"/>
            <w:right w:w="108" w:type="dxa"/>
          </w:tblCellMar>
        </w:tblPrEx>
        <w:trPr>
          <w:trHeight w:val="426"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17</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18"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301</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03</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27.66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27.66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09"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301</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02</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414.43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414.43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02"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303</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05</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20.61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20.61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22"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28</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4.68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4.68 </w:t>
            </w:r>
          </w:p>
        </w:tc>
      </w:tr>
      <w:tr>
        <w:tblPrEx>
          <w:tblCellMar>
            <w:top w:w="0" w:type="dxa"/>
            <w:left w:w="108" w:type="dxa"/>
            <w:bottom w:w="0" w:type="dxa"/>
            <w:right w:w="108" w:type="dxa"/>
          </w:tblCellMar>
        </w:tblPrEx>
        <w:trPr>
          <w:trHeight w:val="414"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11</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59.84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59.84 </w:t>
            </w:r>
          </w:p>
        </w:tc>
      </w:tr>
      <w:tr>
        <w:tblPrEx>
          <w:tblCellMar>
            <w:top w:w="0" w:type="dxa"/>
            <w:left w:w="108" w:type="dxa"/>
            <w:bottom w:w="0" w:type="dxa"/>
            <w:right w:w="108" w:type="dxa"/>
          </w:tblCellMar>
        </w:tblPrEx>
        <w:trPr>
          <w:trHeight w:val="240"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07</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10.00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10.00 </w:t>
            </w:r>
          </w:p>
        </w:tc>
      </w:tr>
      <w:tr>
        <w:tblPrEx>
          <w:tblCellMar>
            <w:top w:w="0" w:type="dxa"/>
            <w:left w:w="108" w:type="dxa"/>
            <w:bottom w:w="0" w:type="dxa"/>
            <w:right w:w="108" w:type="dxa"/>
          </w:tblCellMar>
        </w:tblPrEx>
        <w:trPr>
          <w:trHeight w:val="296"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42</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399"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303</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99</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25.92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25.92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20"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302</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01</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12"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20"/>
                <w:szCs w:val="20"/>
              </w:rPr>
            </w:pPr>
            <w:r>
              <w:rPr>
                <w:rFonts w:hint="eastAsia" w:ascii="宋体" w:hAnsi="宋体"/>
                <w:sz w:val="20"/>
                <w:szCs w:val="20"/>
              </w:rPr>
              <w:t>301</w:t>
            </w: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cs="宋体"/>
                <w:sz w:val="20"/>
                <w:szCs w:val="20"/>
              </w:rPr>
            </w:pPr>
            <w:r>
              <w:rPr>
                <w:rFonts w:hint="eastAsia" w:ascii="宋体" w:hAnsi="宋体"/>
                <w:sz w:val="20"/>
                <w:szCs w:val="20"/>
              </w:rPr>
              <w:t>12</w:t>
            </w: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74.24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xml:space="preserve">74.24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ascii="宋体" w:hAnsi="宋体"/>
                <w:sz w:val="20"/>
                <w:szCs w:val="20"/>
              </w:rPr>
              <w:t>　</w:t>
            </w:r>
          </w:p>
        </w:tc>
      </w:tr>
      <w:tr>
        <w:tblPrEx>
          <w:tblCellMar>
            <w:top w:w="0" w:type="dxa"/>
            <w:left w:w="108" w:type="dxa"/>
            <w:bottom w:w="0" w:type="dxa"/>
            <w:right w:w="108" w:type="dxa"/>
          </w:tblCellMar>
        </w:tblPrEx>
        <w:trPr>
          <w:trHeight w:val="468" w:hRule="atLeast"/>
        </w:trPr>
        <w:tc>
          <w:tcPr>
            <w:tcW w:w="682" w:type="dxa"/>
            <w:tcBorders>
              <w:top w:val="nil"/>
              <w:left w:val="single" w:color="auto" w:sz="4" w:space="0"/>
              <w:bottom w:val="single" w:color="auto" w:sz="4" w:space="0"/>
              <w:right w:val="nil"/>
            </w:tcBorders>
            <w:shd w:val="clear" w:color="auto" w:fill="auto"/>
            <w:vAlign w:val="center"/>
          </w:tcPr>
          <w:p>
            <w:pPr>
              <w:jc w:val="center"/>
              <w:rPr>
                <w:rFonts w:ascii="宋体" w:hAnsi="宋体"/>
                <w:sz w:val="20"/>
                <w:szCs w:val="20"/>
              </w:rPr>
            </w:pPr>
          </w:p>
        </w:tc>
        <w:tc>
          <w:tcPr>
            <w:tcW w:w="850" w:type="dxa"/>
            <w:tcBorders>
              <w:top w:val="nil"/>
              <w:left w:val="single" w:color="auto" w:sz="4" w:space="0"/>
              <w:bottom w:val="single" w:color="auto" w:sz="4" w:space="0"/>
              <w:right w:val="nil"/>
            </w:tcBorders>
            <w:shd w:val="clear" w:color="auto" w:fill="auto"/>
            <w:vAlign w:val="center"/>
          </w:tcPr>
          <w:p>
            <w:pPr>
              <w:rPr>
                <w:rFonts w:ascii="宋体" w:hAnsi="宋体"/>
                <w:sz w:val="20"/>
                <w:szCs w:val="20"/>
              </w:rPr>
            </w:pPr>
          </w:p>
        </w:tc>
        <w:tc>
          <w:tcPr>
            <w:tcW w:w="2693"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sz w:val="20"/>
                <w:szCs w:val="20"/>
              </w:rPr>
            </w:pPr>
          </w:p>
        </w:tc>
      </w:tr>
      <w:tr>
        <w:tblPrEx>
          <w:tblCellMar>
            <w:top w:w="0" w:type="dxa"/>
            <w:left w:w="108" w:type="dxa"/>
            <w:bottom w:w="0" w:type="dxa"/>
            <w:right w:w="108" w:type="dxa"/>
          </w:tblCellMar>
        </w:tblPrEx>
        <w:trPr>
          <w:trHeight w:val="4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1302.62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1116.08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186.54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282" w:type="dxa"/>
        <w:tblInd w:w="-360" w:type="dxa"/>
        <w:tblLayout w:type="autofit"/>
        <w:tblCellMar>
          <w:top w:w="0" w:type="dxa"/>
          <w:left w:w="108" w:type="dxa"/>
          <w:bottom w:w="0" w:type="dxa"/>
          <w:right w:w="108" w:type="dxa"/>
        </w:tblCellMar>
      </w:tblPr>
      <w:tblGrid>
        <w:gridCol w:w="14"/>
        <w:gridCol w:w="502"/>
        <w:gridCol w:w="416"/>
        <w:gridCol w:w="416"/>
        <w:gridCol w:w="1507"/>
        <w:gridCol w:w="1441"/>
        <w:gridCol w:w="765"/>
        <w:gridCol w:w="110"/>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4" w:type="dxa"/>
          <w:wAfter w:w="8" w:type="dxa"/>
          <w:trHeight w:val="573" w:hRule="atLeast"/>
        </w:trPr>
        <w:tc>
          <w:tcPr>
            <w:tcW w:w="10260"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4" w:type="dxa"/>
          <w:wAfter w:w="8" w:type="dxa"/>
          <w:trHeight w:val="405" w:hRule="atLeast"/>
        </w:trPr>
        <w:tc>
          <w:tcPr>
            <w:tcW w:w="5157"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编制部门：克州政府办公室</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507"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41"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6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507"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4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6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201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03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cs="宋体"/>
                <w:b/>
                <w:color w:val="000000"/>
                <w:kern w:val="0"/>
                <w:sz w:val="20"/>
                <w:szCs w:val="20"/>
              </w:rPr>
              <w:t>其他办公厅（室）及相关机构事务支出　</w:t>
            </w:r>
          </w:p>
        </w:tc>
        <w:tc>
          <w:tcPr>
            <w:tcW w:w="1441"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群众工作经费　</w:t>
            </w:r>
          </w:p>
        </w:tc>
        <w:tc>
          <w:tcPr>
            <w:tcW w:w="765"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7</w:t>
            </w:r>
          </w:p>
        </w:tc>
        <w:tc>
          <w:tcPr>
            <w:tcW w:w="569" w:type="dxa"/>
            <w:gridSpan w:val="2"/>
            <w:shd w:val="clear" w:color="auto" w:fill="auto"/>
            <w:vAlign w:val="center"/>
          </w:tcPr>
          <w:p>
            <w:pPr>
              <w:widowControl/>
              <w:jc w:val="center"/>
              <w:outlineLvl w:val="1"/>
              <w:rPr>
                <w:rFonts w:ascii="仿宋_GB2312" w:hAnsi="宋体" w:eastAsia="仿宋_GB2312" w:cs="宋体"/>
                <w:b/>
                <w:color w:val="000000"/>
                <w:kern w:val="0"/>
                <w:sz w:val="20"/>
                <w:szCs w:val="20"/>
              </w:rPr>
            </w:pPr>
          </w:p>
        </w:tc>
        <w:tc>
          <w:tcPr>
            <w:tcW w:w="536"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7</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19"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397"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201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03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cs="宋体"/>
                <w:b/>
                <w:color w:val="000000"/>
                <w:kern w:val="0"/>
                <w:sz w:val="20"/>
                <w:szCs w:val="20"/>
              </w:rPr>
              <w:t>其他办公厅（室）及相关机构事务支出　</w:t>
            </w:r>
          </w:p>
        </w:tc>
        <w:tc>
          <w:tcPr>
            <w:tcW w:w="1441"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为民办事经费　　</w:t>
            </w:r>
          </w:p>
        </w:tc>
        <w:tc>
          <w:tcPr>
            <w:tcW w:w="765"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17</w:t>
            </w:r>
          </w:p>
        </w:tc>
        <w:tc>
          <w:tcPr>
            <w:tcW w:w="569" w:type="dxa"/>
            <w:gridSpan w:val="2"/>
            <w:shd w:val="clear" w:color="auto" w:fill="auto"/>
            <w:vAlign w:val="center"/>
          </w:tcPr>
          <w:p>
            <w:pPr>
              <w:widowControl/>
              <w:jc w:val="center"/>
              <w:outlineLvl w:val="1"/>
              <w:rPr>
                <w:rFonts w:ascii="仿宋_GB2312" w:hAnsi="宋体" w:eastAsia="仿宋_GB2312" w:cs="宋体"/>
                <w:b/>
                <w:color w:val="000000"/>
                <w:kern w:val="0"/>
                <w:sz w:val="20"/>
                <w:szCs w:val="20"/>
              </w:rPr>
            </w:pPr>
          </w:p>
        </w:tc>
        <w:tc>
          <w:tcPr>
            <w:tcW w:w="536"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17</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19"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397"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201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03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cs="宋体"/>
                <w:b/>
                <w:color w:val="000000"/>
                <w:kern w:val="0"/>
                <w:sz w:val="20"/>
                <w:szCs w:val="20"/>
              </w:rPr>
              <w:t>其他办公厅（室）及相关机构事务支出　</w:t>
            </w:r>
          </w:p>
        </w:tc>
        <w:tc>
          <w:tcPr>
            <w:tcW w:w="1441"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公务接待费</w:t>
            </w:r>
          </w:p>
        </w:tc>
        <w:tc>
          <w:tcPr>
            <w:tcW w:w="765"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40</w:t>
            </w:r>
          </w:p>
        </w:tc>
        <w:tc>
          <w:tcPr>
            <w:tcW w:w="569" w:type="dxa"/>
            <w:gridSpan w:val="2"/>
            <w:shd w:val="clear" w:color="auto" w:fill="auto"/>
            <w:vAlign w:val="center"/>
          </w:tcPr>
          <w:p>
            <w:pPr>
              <w:widowControl/>
              <w:jc w:val="center"/>
              <w:outlineLvl w:val="1"/>
              <w:rPr>
                <w:rFonts w:ascii="仿宋_GB2312" w:hAnsi="宋体" w:eastAsia="仿宋_GB2312" w:cs="宋体"/>
                <w:b/>
                <w:color w:val="000000"/>
                <w:kern w:val="0"/>
                <w:sz w:val="20"/>
                <w:szCs w:val="20"/>
              </w:rPr>
            </w:pPr>
          </w:p>
        </w:tc>
        <w:tc>
          <w:tcPr>
            <w:tcW w:w="536"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40</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19"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397"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201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03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cs="宋体"/>
                <w:b/>
                <w:color w:val="000000"/>
                <w:kern w:val="0"/>
                <w:sz w:val="20"/>
                <w:szCs w:val="20"/>
              </w:rPr>
              <w:t>其他办公厅（室）及相关机构事务支出　</w:t>
            </w:r>
          </w:p>
        </w:tc>
        <w:tc>
          <w:tcPr>
            <w:tcW w:w="1441"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业务活动经费</w:t>
            </w:r>
          </w:p>
        </w:tc>
        <w:tc>
          <w:tcPr>
            <w:tcW w:w="765"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50</w:t>
            </w:r>
          </w:p>
        </w:tc>
        <w:tc>
          <w:tcPr>
            <w:tcW w:w="569" w:type="dxa"/>
            <w:gridSpan w:val="2"/>
            <w:shd w:val="clear" w:color="auto" w:fill="auto"/>
            <w:vAlign w:val="center"/>
          </w:tcPr>
          <w:p>
            <w:pPr>
              <w:widowControl/>
              <w:jc w:val="center"/>
              <w:outlineLvl w:val="1"/>
              <w:rPr>
                <w:rFonts w:ascii="仿宋_GB2312" w:hAnsi="宋体" w:eastAsia="仿宋_GB2312" w:cs="宋体"/>
                <w:b/>
                <w:color w:val="000000"/>
                <w:kern w:val="0"/>
                <w:sz w:val="20"/>
                <w:szCs w:val="20"/>
              </w:rPr>
            </w:pPr>
          </w:p>
        </w:tc>
        <w:tc>
          <w:tcPr>
            <w:tcW w:w="536"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50</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19"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397"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201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03　</w:t>
            </w:r>
          </w:p>
        </w:tc>
        <w:tc>
          <w:tcPr>
            <w:tcW w:w="41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cs="宋体"/>
                <w:b/>
                <w:color w:val="000000"/>
                <w:kern w:val="0"/>
                <w:sz w:val="20"/>
                <w:szCs w:val="20"/>
              </w:rPr>
              <w:t>其他办公厅（室）及相关机构事务支出　</w:t>
            </w:r>
          </w:p>
        </w:tc>
        <w:tc>
          <w:tcPr>
            <w:tcW w:w="1441"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机场设施租用费</w:t>
            </w:r>
          </w:p>
        </w:tc>
        <w:tc>
          <w:tcPr>
            <w:tcW w:w="765"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60</w:t>
            </w:r>
          </w:p>
        </w:tc>
        <w:tc>
          <w:tcPr>
            <w:tcW w:w="569" w:type="dxa"/>
            <w:gridSpan w:val="2"/>
            <w:shd w:val="clear" w:color="auto" w:fill="auto"/>
            <w:vAlign w:val="center"/>
          </w:tcPr>
          <w:p>
            <w:pPr>
              <w:widowControl/>
              <w:jc w:val="center"/>
              <w:outlineLvl w:val="1"/>
              <w:rPr>
                <w:rFonts w:ascii="仿宋_GB2312" w:hAnsi="宋体" w:eastAsia="仿宋_GB2312" w:cs="宋体"/>
                <w:b/>
                <w:color w:val="000000"/>
                <w:kern w:val="0"/>
                <w:sz w:val="20"/>
                <w:szCs w:val="20"/>
              </w:rPr>
            </w:pPr>
          </w:p>
        </w:tc>
        <w:tc>
          <w:tcPr>
            <w:tcW w:w="536" w:type="dxa"/>
            <w:shd w:val="clear" w:color="auto" w:fill="auto"/>
            <w:vAlign w:val="center"/>
          </w:tcPr>
          <w:p>
            <w:pPr>
              <w:widowControl/>
              <w:jc w:val="center"/>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60</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652"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19"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578"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420" w:type="dxa"/>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397" w:type="dxa"/>
            <w:gridSpan w:val="2"/>
            <w:shd w:val="clear" w:color="auto" w:fill="auto"/>
            <w:vAlign w:val="center"/>
          </w:tcPr>
          <w:p>
            <w:pPr>
              <w:widowControl/>
              <w:outlineLvl w:val="1"/>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4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p>
        </w:tc>
        <w:tc>
          <w:tcPr>
            <w:tcW w:w="416" w:type="dxa"/>
            <w:shd w:val="clear" w:color="auto" w:fill="auto"/>
          </w:tcPr>
          <w:p>
            <w:pPr>
              <w:widowControl/>
              <w:jc w:val="left"/>
              <w:outlineLvl w:val="1"/>
              <w:rPr>
                <w:rFonts w:ascii="仿宋_GB2312" w:hAnsi="宋体" w:eastAsia="仿宋_GB2312"/>
                <w:kern w:val="0"/>
                <w:sz w:val="32"/>
                <w:szCs w:val="32"/>
              </w:rPr>
            </w:pPr>
          </w:p>
        </w:tc>
        <w:tc>
          <w:tcPr>
            <w:tcW w:w="416" w:type="dxa"/>
            <w:shd w:val="clear" w:color="auto" w:fill="auto"/>
          </w:tcPr>
          <w:p>
            <w:pPr>
              <w:widowControl/>
              <w:jc w:val="left"/>
              <w:outlineLvl w:val="1"/>
              <w:rPr>
                <w:rFonts w:ascii="仿宋_GB2312" w:hAnsi="宋体" w:eastAsia="仿宋_GB2312"/>
                <w:kern w:val="0"/>
                <w:sz w:val="32"/>
                <w:szCs w:val="32"/>
              </w:rPr>
            </w:pPr>
          </w:p>
        </w:tc>
        <w:tc>
          <w:tcPr>
            <w:tcW w:w="1507" w:type="dxa"/>
            <w:shd w:val="clear" w:color="auto" w:fill="auto"/>
          </w:tcPr>
          <w:p>
            <w:pPr>
              <w:widowControl/>
              <w:jc w:val="left"/>
              <w:outlineLvl w:val="1"/>
              <w:rPr>
                <w:rFonts w:ascii="仿宋_GB2312" w:hAnsi="宋体" w:eastAsia="仿宋_GB2312"/>
                <w:kern w:val="0"/>
                <w:sz w:val="32"/>
                <w:szCs w:val="32"/>
              </w:rPr>
            </w:pPr>
          </w:p>
        </w:tc>
        <w:tc>
          <w:tcPr>
            <w:tcW w:w="1441" w:type="dxa"/>
            <w:shd w:val="clear" w:color="auto" w:fill="auto"/>
          </w:tcPr>
          <w:p>
            <w:pPr>
              <w:widowControl/>
              <w:jc w:val="left"/>
              <w:outlineLvl w:val="1"/>
              <w:rPr>
                <w:rFonts w:ascii="仿宋_GB2312" w:hAnsi="宋体" w:eastAsia="仿宋_GB2312"/>
                <w:kern w:val="0"/>
                <w:sz w:val="32"/>
                <w:szCs w:val="32"/>
              </w:rPr>
            </w:pPr>
          </w:p>
        </w:tc>
        <w:tc>
          <w:tcPr>
            <w:tcW w:w="765"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41"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65"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174</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174</w:t>
            </w:r>
          </w:p>
        </w:tc>
        <w:tc>
          <w:tcPr>
            <w:tcW w:w="652" w:type="dxa"/>
            <w:shd w:val="clear" w:color="auto" w:fill="auto"/>
            <w:vAlign w:val="center"/>
          </w:tcPr>
          <w:p>
            <w:pPr>
              <w:widowControl/>
              <w:jc w:val="center"/>
              <w:outlineLvl w:val="1"/>
              <w:rPr>
                <w:rFonts w:ascii="仿宋_GB2312" w:hAnsi="宋体" w:eastAsia="仿宋_GB2312"/>
                <w:kern w:val="0"/>
                <w:szCs w:val="21"/>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克州政府办公室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133.6</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93.6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93.6</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克州政府办公室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备注：无内容应公开空表并说明情况。（克州政府办公室为行政单位，无政府性基金预算支出）</w:t>
      </w:r>
    </w:p>
    <w:p>
      <w:pPr>
        <w:widowControl/>
        <w:jc w:val="left"/>
        <w:outlineLvl w:val="1"/>
        <w:rPr>
          <w:rFonts w:ascii="仿宋_GB2312" w:hAnsi="宋体" w:eastAsia="仿宋_GB2312"/>
          <w:color w:val="000000" w:themeColor="text1"/>
          <w:kern w:val="0"/>
          <w:sz w:val="32"/>
          <w:szCs w:val="32"/>
          <w:highlight w:val="red"/>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关于克州政府办公室2020年收支预算情况的总体说明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按照全口径预算的原则，克州政府办公室2020年所有收入和支出均纳入部门预算管理。收支总预算1483.22万元。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收入预算包括：一般公共预算1459.62万元、 政府性基金预算0万元、教育收费（财政专户）0万元、事业收入0万元、事业单位经营收入0万元、其他收入0万元、用事业基金弥补收支差额0万元、上级专项收入17万元、单位上年结余（不包括国库集中支付额度结余）6.6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1476.62万元、外交支出0万元、国防支出0万元、公共安全支出0万元、教育支出0万元、科学技术支出0万元、文化旅游体育与传媒支出0万元、社会保障和就业支出0万元、医疗卫生健康支出0万元、节能环保支出0万元、城乡社区支出0万元、农林水支出0万元、交通运输支出0万元、资源勘探工业信息等支出0万元、商业服务业等支出0万元、金融支出0万元、援助其他地区支出0万元、自然资源海洋气象等支出0万元、住房保障支出0万元、粮油物资储备支出0万元、灾害防治及应急管理支出0万元、预备费0万元、其他支出0万元、转移性支出0万元、债务还本支出0万元、债务付息支出0万元、债务发行费用支出0万元等。</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二、关于克州政府办公室2020年收入预算情况说明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克州政府办公室收入预算1483.22万元，其中：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一般公共预算1459.62 万元，占98.41%，比上年增加（减少）102.16万元，主要原因是人员工资增加；（从涉改部门克州电子政务办公室调入9人，克州法制办调入1人。）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财政专户管理资金0万元，占0%，比上年增加（减少）   0万元，主要原因是无；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事业收入0万元，占0 %，比上年增加（减少）0万元，主要原因是无；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事业单位经营收入0万元，占0%，比上年增加（减少）   0万元，主要原因是无；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其他收入0万元，占0%，比上年增加（减少）0万元，主要原因是 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用事业基金弥补收支差额0 万元，占0 %，比上年增加（减少）0万元，主要原因是无。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上级专项收入17万元，占1.15%，比上年增加17万元，主要原是根据财政资金绩效管理要求自治区专项为民办事经费纳入年初预算。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单位上年结余（不包括国库集中支付额度结余）6.6万元，占0.44%，比上年减少37.6万元，主要原因是2019年已支付自治州应急指挥平台建设项目尾款等。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三、关于克州政府办公室单位2020年支出预算情况说明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克州政府办公室2020年支出预算1476.62万元，其中：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基本支出1302.62万元，占88.2%，比上年增加65.28   万元，主要原因是人员工资增多。</w:t>
      </w:r>
      <w:bookmarkStart w:id="0" w:name="_GoBack"/>
      <w:bookmarkEnd w:id="0"/>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项目支出174万元，占11.78%，比上年减少13.92万元，主要原因是： 1、2020年预算中群众公共工作人员补助纳入基本支出类核算；2、2020年预算中减少打击走私</w:t>
      </w:r>
      <w:r>
        <w:rPr>
          <w:rFonts w:hint="eastAsia" w:ascii="仿宋_GB2312" w:hAnsi="宋体" w:eastAsia="仿宋_GB2312" w:cs="宋体"/>
          <w:kern w:val="0"/>
          <w:sz w:val="32"/>
          <w:szCs w:val="32"/>
          <w:lang w:val="en-US" w:eastAsia="zh-CN"/>
        </w:rPr>
        <w:t>专项</w:t>
      </w:r>
      <w:r>
        <w:rPr>
          <w:rFonts w:hint="eastAsia" w:ascii="仿宋_GB2312" w:hAnsi="宋体" w:eastAsia="仿宋_GB2312" w:cs="宋体"/>
          <w:kern w:val="0"/>
          <w:sz w:val="32"/>
          <w:szCs w:val="32"/>
        </w:rPr>
        <w:t>经费5万元；3、根据财政资金绩效管理要求自治区专项为民办事经费纳入年初预算。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四、关于克州政府办公室2020年财政拨款收支预算情况的总体说明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2020年财政拨款收支总预算1459.62万元。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五、关于克州政府办公室2020年一般公共预算当年拨款情况说明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克州政府办公室2020年一般公共预算拨款基本支出    1459.62万元，比上年执行数减少389.3万元，下降21.06 %。主要原因是：1、2019年执行数包括原法制办1-4月人员工资及2018年绩效奖励；2、2019年执行数包括根据临时性工作需要拨付的业务经费。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楷体_GB2312" w:eastAsia="楷体_GB2312"/>
          <w:b/>
          <w:sz w:val="32"/>
          <w:szCs w:val="32"/>
        </w:rPr>
        <w:t>1459.62</w:t>
      </w:r>
      <w:r>
        <w:rPr>
          <w:rFonts w:hint="eastAsia" w:ascii="仿宋_GB2312" w:hAnsi="宋体" w:eastAsia="仿宋_GB2312" w:cs="宋体"/>
          <w:kern w:val="0"/>
          <w:sz w:val="32"/>
          <w:szCs w:val="32"/>
        </w:rPr>
        <w:t>万元，占100%。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 w:hAnsi="仿宋" w:eastAsia="仿宋" w:cs="宋体"/>
          <w:color w:val="000000"/>
          <w:kern w:val="0"/>
          <w:sz w:val="22"/>
          <w:szCs w:val="22"/>
        </w:rPr>
      </w:pPr>
      <w:r>
        <w:rPr>
          <w:rFonts w:hint="eastAsia" w:ascii="仿宋" w:hAnsi="仿宋" w:eastAsia="仿宋" w:cs="宋体"/>
          <w:kern w:val="0"/>
          <w:sz w:val="32"/>
          <w:szCs w:val="32"/>
        </w:rPr>
        <w:t>1.</w:t>
      </w:r>
      <w:r>
        <w:rPr>
          <w:rFonts w:ascii="仿宋" w:hAnsi="仿宋" w:eastAsia="仿宋" w:cs="宋体"/>
          <w:kern w:val="0"/>
          <w:sz w:val="32"/>
          <w:szCs w:val="32"/>
        </w:rPr>
        <w:t>一般公共服务财政事务行政运行</w:t>
      </w:r>
      <w:r>
        <w:rPr>
          <w:rFonts w:hint="eastAsia" w:ascii="仿宋" w:hAnsi="仿宋" w:eastAsia="仿宋" w:cs="宋体"/>
          <w:kern w:val="0"/>
          <w:sz w:val="32"/>
          <w:szCs w:val="32"/>
        </w:rPr>
        <w:t>2010301：2020年</w:t>
      </w:r>
      <w:r>
        <w:rPr>
          <w:rFonts w:ascii="仿宋" w:hAnsi="仿宋" w:eastAsia="仿宋" w:cs="宋体"/>
          <w:kern w:val="0"/>
          <w:sz w:val="32"/>
          <w:szCs w:val="32"/>
        </w:rPr>
        <w:t>预算数为</w:t>
      </w:r>
      <w:r>
        <w:rPr>
          <w:rFonts w:hint="eastAsia" w:ascii="仿宋" w:hAnsi="仿宋" w:eastAsia="仿宋" w:cs="宋体"/>
          <w:kern w:val="0"/>
          <w:sz w:val="32"/>
          <w:szCs w:val="32"/>
        </w:rPr>
        <w:t>1352.62</w:t>
      </w:r>
      <w:r>
        <w:rPr>
          <w:rFonts w:ascii="仿宋" w:hAnsi="仿宋" w:eastAsia="仿宋" w:cs="宋体"/>
          <w:kern w:val="0"/>
          <w:sz w:val="32"/>
          <w:szCs w:val="32"/>
        </w:rPr>
        <w:t>万元，</w:t>
      </w:r>
      <w:r>
        <w:rPr>
          <w:rFonts w:hint="eastAsia" w:ascii="仿宋" w:hAnsi="仿宋" w:eastAsia="仿宋" w:cs="宋体"/>
          <w:kern w:val="0"/>
          <w:sz w:val="32"/>
          <w:szCs w:val="32"/>
        </w:rPr>
        <w:t xml:space="preserve">比上年执行数减少193.65万元，下降12.52%，主要原因是：2019年执行数包括根据临时性工作需要拨付的业务经费。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b/>
          <w:color w:val="000000"/>
          <w:kern w:val="0"/>
          <w:sz w:val="20"/>
          <w:szCs w:val="20"/>
        </w:rPr>
        <w:t xml:space="preserve"> </w:t>
      </w:r>
      <w:r>
        <w:rPr>
          <w:rFonts w:hint="eastAsia" w:ascii="仿宋" w:hAnsi="仿宋" w:eastAsia="仿宋" w:cs="宋体"/>
          <w:kern w:val="0"/>
          <w:sz w:val="32"/>
          <w:szCs w:val="32"/>
        </w:rPr>
        <w:t>其他办公厅（室）及相关机构事务支出2010399：2020年</w:t>
      </w:r>
      <w:r>
        <w:rPr>
          <w:rFonts w:ascii="仿宋" w:hAnsi="仿宋" w:eastAsia="仿宋" w:cs="宋体"/>
          <w:kern w:val="0"/>
          <w:sz w:val="32"/>
          <w:szCs w:val="32"/>
        </w:rPr>
        <w:t>预算数为</w:t>
      </w:r>
      <w:r>
        <w:rPr>
          <w:rFonts w:hint="eastAsia" w:ascii="仿宋" w:hAnsi="仿宋" w:eastAsia="仿宋" w:cs="宋体"/>
          <w:kern w:val="0"/>
          <w:sz w:val="32"/>
          <w:szCs w:val="32"/>
        </w:rPr>
        <w:t>157</w:t>
      </w:r>
      <w:r>
        <w:rPr>
          <w:rFonts w:ascii="仿宋" w:hAnsi="仿宋" w:eastAsia="仿宋" w:cs="宋体"/>
          <w:kern w:val="0"/>
          <w:sz w:val="32"/>
          <w:szCs w:val="32"/>
        </w:rPr>
        <w:t>万元，</w:t>
      </w:r>
      <w:r>
        <w:rPr>
          <w:rFonts w:hint="eastAsia" w:ascii="仿宋" w:hAnsi="仿宋" w:eastAsia="仿宋" w:cs="宋体"/>
          <w:kern w:val="0"/>
          <w:sz w:val="32"/>
          <w:szCs w:val="32"/>
        </w:rPr>
        <w:t>比上年执行数减少10.68万元，下降6.37%，主要原因是：1、2020年群众工作人员补助在2010301反应；2、2020年预算中追减打击走私工作经费。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六、关于克州政府办公室2020年一般公共预算基本支出情况说明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克州政府办公室2020年一般公共预算基本支出1302.62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1116.08万元，主要包括：基本工资331.92万元、津贴补贴414.43万元、奖金27.66万元、伙食补助费0万元、绩效工资0万元、机关事业单位基本养老保险缴费108.49万元、职业年金缴费0万元、职工基本医疗保险缴费0万元、公务员医疗补助缴费0万元、其他社会保障缴费74.24万元、住房公积金78.2万元、医疗费0万元、其他工资福利支出0万元、离休费0万元、退休费0万元、退职（役）费0万元、抚恤金0万元、生活补助20.61万元、救济费0万元、医疗费补助0万元、助学金0万元、奖励金0万元、个人农业生产补贴0万元、其他对个人和家庭的补助25.92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186.54万元，主要包括：办公费10万元、印刷费0万元、咨询费0万元、手续费0万元、水费0万元、电费0万元、邮电费10万元、取暖费0万元、物业管理费0万元、差旅费59.84万元、因公出国（境）费0万元、维修（护）费0万元、租赁费0万元、会议费0万元、培训费0万元、公务接待费0万元、专用材料费0万元、被装购置费0万元、专用燃料费0万元、劳务费0万元、委托业务费0万元、工会经费4.68万元、福利费8.42万元、公务用车运行维护费93.6万元、其他交通费用0万元、税金及附加费用0万元、其他商品和服务支出0万元、办公设备购置0万元、专用设备购置0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七、关于克州政府办公室2020年项目支出情况说明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1、项目名称：</w:t>
      </w:r>
      <w:r>
        <w:rPr>
          <w:rFonts w:hint="eastAsia" w:ascii="仿宋_GB2312" w:hAnsi="宋体" w:eastAsia="仿宋_GB2312" w:cs="仿宋_GB2312"/>
          <w:kern w:val="0"/>
          <w:sz w:val="32"/>
          <w:szCs w:val="32"/>
        </w:rPr>
        <w:t>机场设施租用费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根据工作需要州领导审批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60</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w:t>
      </w:r>
      <w:r>
        <w:rPr>
          <w:rFonts w:hint="eastAsia" w:ascii="仿宋_GB2312" w:hAnsi="宋体" w:eastAsia="仿宋_GB2312" w:cs="仿宋_GB2312"/>
          <w:kern w:val="0"/>
          <w:sz w:val="32"/>
          <w:szCs w:val="32"/>
        </w:rPr>
        <w:t>克州人民政府接待处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kern w:val="0"/>
          <w:sz w:val="32"/>
          <w:szCs w:val="32"/>
        </w:rPr>
        <w:t>主要用于喀什机场贵宾厅租金</w:t>
      </w:r>
    </w:p>
    <w:p>
      <w:pPr>
        <w:widowControl/>
        <w:spacing w:line="580" w:lineRule="exact"/>
        <w:ind w:firstLine="640"/>
        <w:jc w:val="left"/>
        <w:rPr>
          <w:rFonts w:ascii="仿宋_GB2312" w:hAnsi="宋体" w:eastAsia="仿宋_GB2312" w:cs="仿宋_GB2312"/>
          <w:kern w:val="0"/>
          <w:sz w:val="32"/>
          <w:szCs w:val="32"/>
        </w:rPr>
      </w:pPr>
      <w:r>
        <w:rPr>
          <w:rFonts w:hint="eastAsia" w:ascii="仿宋_GB2312" w:hAnsi="黑体" w:eastAsia="仿宋_GB2312" w:cs="仿宋_GB2312"/>
          <w:sz w:val="32"/>
          <w:szCs w:val="32"/>
        </w:rPr>
        <w:t>资金执行时间：</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20年全年</w:t>
      </w:r>
    </w:p>
    <w:p>
      <w:pPr>
        <w:widowControl/>
        <w:spacing w:line="580" w:lineRule="exact"/>
        <w:ind w:firstLine="640"/>
        <w:jc w:val="left"/>
        <w:rPr>
          <w:rFonts w:ascii="仿宋_GB2312" w:hAnsi="黑体" w:eastAsia="仿宋_GB2312"/>
          <w:sz w:val="32"/>
          <w:szCs w:val="32"/>
        </w:rPr>
      </w:pPr>
      <w:r>
        <w:rPr>
          <w:rFonts w:hint="eastAsia" w:ascii="仿宋_GB2312" w:hAnsi="宋体" w:eastAsia="仿宋_GB2312" w:cs="仿宋_GB2312"/>
          <w:kern w:val="0"/>
          <w:sz w:val="32"/>
          <w:szCs w:val="32"/>
        </w:rPr>
        <w:t>2、</w:t>
      </w: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公务接待费</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根据工作需要州领导审批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40</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w:t>
      </w:r>
      <w:r>
        <w:rPr>
          <w:rFonts w:hint="eastAsia" w:ascii="仿宋_GB2312" w:hAnsi="宋体" w:eastAsia="仿宋_GB2312" w:cs="仿宋_GB2312"/>
          <w:kern w:val="0"/>
          <w:sz w:val="32"/>
          <w:szCs w:val="32"/>
        </w:rPr>
        <w:t>克州人民政府接待处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kern w:val="0"/>
          <w:sz w:val="32"/>
          <w:szCs w:val="32"/>
        </w:rPr>
        <w:t>主要用于公务接待费</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20年全年</w:t>
      </w:r>
    </w:p>
    <w:p>
      <w:pPr>
        <w:widowControl/>
        <w:spacing w:line="580" w:lineRule="exact"/>
        <w:ind w:firstLine="640"/>
        <w:jc w:val="left"/>
        <w:rPr>
          <w:rFonts w:ascii="仿宋_GB2312" w:hAnsi="黑体" w:eastAsia="仿宋_GB2312"/>
          <w:sz w:val="32"/>
          <w:szCs w:val="32"/>
        </w:rPr>
      </w:pPr>
      <w:r>
        <w:rPr>
          <w:rFonts w:hint="eastAsia" w:ascii="仿宋_GB2312" w:hAnsi="宋体" w:eastAsia="仿宋_GB2312"/>
          <w:kern w:val="0"/>
          <w:sz w:val="32"/>
          <w:szCs w:val="32"/>
        </w:rPr>
        <w:t>3、</w:t>
      </w:r>
      <w:r>
        <w:rPr>
          <w:rFonts w:hint="eastAsia" w:ascii="仿宋_GB2312" w:hAnsi="黑体" w:eastAsia="仿宋_GB2312" w:cs="仿宋_GB2312"/>
          <w:sz w:val="32"/>
          <w:szCs w:val="32"/>
        </w:rPr>
        <w:t>项目名称：业务活动经费</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根据州委统一安排部署</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hint="eastAsia" w:ascii="仿宋_GB2312" w:hAnsi="宋体" w:eastAsia="仿宋_GB2312" w:cs="仿宋_GB2312"/>
          <w:kern w:val="0"/>
          <w:sz w:val="32"/>
          <w:szCs w:val="32"/>
        </w:rPr>
        <w:t>50万元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w:t>
      </w:r>
      <w:r>
        <w:rPr>
          <w:rFonts w:hint="eastAsia" w:ascii="仿宋_GB2312" w:hAnsi="宋体" w:eastAsia="仿宋_GB2312" w:cs="仿宋_GB2312"/>
          <w:kern w:val="0"/>
          <w:sz w:val="32"/>
          <w:szCs w:val="32"/>
        </w:rPr>
        <w:t>克州政府办公室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kern w:val="0"/>
          <w:sz w:val="32"/>
          <w:szCs w:val="32"/>
        </w:rPr>
        <w:t>主要用于单位业务工作</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20年全年</w:t>
      </w:r>
    </w:p>
    <w:p>
      <w:pPr>
        <w:widowControl/>
        <w:spacing w:line="580" w:lineRule="exact"/>
        <w:ind w:firstLine="640"/>
        <w:jc w:val="left"/>
        <w:rPr>
          <w:rFonts w:ascii="仿宋_GB2312" w:hAnsi="黑体" w:eastAsia="仿宋_GB2312"/>
          <w:sz w:val="32"/>
          <w:szCs w:val="32"/>
        </w:rPr>
      </w:pPr>
      <w:r>
        <w:rPr>
          <w:rFonts w:hint="eastAsia" w:ascii="仿宋_GB2312" w:hAnsi="宋体" w:eastAsia="仿宋_GB2312"/>
          <w:kern w:val="0"/>
          <w:sz w:val="32"/>
          <w:szCs w:val="32"/>
        </w:rPr>
        <w:t>4、</w:t>
      </w: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群众工作经费</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根据州委统一安排部署</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w:t>
      </w:r>
      <w:r>
        <w:rPr>
          <w:rFonts w:hint="eastAsia" w:ascii="仿宋_GB2312" w:hAnsi="宋体" w:eastAsia="仿宋_GB2312" w:cs="仿宋_GB2312"/>
          <w:kern w:val="0"/>
          <w:sz w:val="32"/>
          <w:szCs w:val="32"/>
        </w:rPr>
        <w:t>克州政府办公室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kern w:val="0"/>
          <w:sz w:val="32"/>
          <w:szCs w:val="32"/>
        </w:rPr>
        <w:t>主要用于群众工作</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20年全年</w:t>
      </w:r>
    </w:p>
    <w:p>
      <w:pPr>
        <w:widowControl/>
        <w:spacing w:line="580" w:lineRule="exact"/>
        <w:ind w:firstLine="640"/>
        <w:jc w:val="left"/>
        <w:rPr>
          <w:rFonts w:ascii="仿宋_GB2312" w:hAnsi="黑体" w:eastAsia="仿宋_GB2312"/>
          <w:sz w:val="32"/>
          <w:szCs w:val="32"/>
        </w:rPr>
      </w:pPr>
      <w:r>
        <w:rPr>
          <w:rFonts w:hint="eastAsia" w:ascii="仿宋_GB2312" w:hAnsi="宋体" w:eastAsia="仿宋_GB2312"/>
          <w:kern w:val="0"/>
          <w:sz w:val="32"/>
          <w:szCs w:val="32"/>
        </w:rPr>
        <w:t>5、</w:t>
      </w:r>
      <w:r>
        <w:rPr>
          <w:rFonts w:hint="eastAsia" w:ascii="仿宋_GB2312" w:hAnsi="黑体" w:eastAsia="仿宋_GB2312" w:cs="仿宋_GB2312"/>
          <w:sz w:val="32"/>
          <w:szCs w:val="32"/>
        </w:rPr>
        <w:t>项目名称：为民办事工作</w:t>
      </w:r>
      <w:r>
        <w:rPr>
          <w:rFonts w:hint="eastAsia" w:ascii="仿宋_GB2312" w:hAnsi="宋体" w:eastAsia="仿宋_GB2312" w:cs="仿宋_GB2312"/>
          <w:kern w:val="0"/>
          <w:sz w:val="32"/>
          <w:szCs w:val="32"/>
        </w:rPr>
        <w:t>经费</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根据自治区党委统一安排部署</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预算安排规模：1</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w:t>
      </w:r>
      <w:r>
        <w:rPr>
          <w:rFonts w:hint="eastAsia" w:ascii="仿宋_GB2312" w:hAnsi="宋体" w:eastAsia="仿宋_GB2312" w:cs="仿宋_GB2312"/>
          <w:kern w:val="0"/>
          <w:sz w:val="32"/>
          <w:szCs w:val="32"/>
        </w:rPr>
        <w:t>克州政府办公室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kern w:val="0"/>
          <w:sz w:val="32"/>
          <w:szCs w:val="32"/>
        </w:rPr>
        <w:t>主要用于群众工作</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20年全年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八、关于克州政府办公室2020年一般公共预算“三公”经费预算情况说明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克州政府办公室2020年“三公”经费财政拨款预算数为133.6万元，其中：因公出国（境）费0万元，公务用车购置0万元，公务用车运行费93.6万元，公务接待费40万元。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11.9万元，其中：因公出国（境）费增加（减少）0万元，主要原因是无 ；公务用车购置费为0，未安排预算。[或公务用车购置费增加（减少）0万元，主要原因是无]；公务用车运行费增加11.9万元，主要原因是单位从相关部门调拨2辆车；公务接待费增加（减少）0万元，主要原因是坚持执行中央八项规定。</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九、关于克州政府办公室2020年政府性基金预算拨款情况说明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克州政府办公室2020年没有使用政府性基金预算拨款安排的支出，政府性基金预算支出情况表为空表。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2020年，克州政府办公室本级及下属0家行政单位和  家0事业单位的机关运行经费财政拨款预算311.52万元，比上年预算增加136.65万元，增长78.14%。主要原因是人员工资增加。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2020年，克州政府办公室及下属单位政府采购预算   144.4万元，其中：政府采购货物预算54.4万元，政府采购工程预算0万元，政府采购服务预算90万元。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截至2020年底，克州政府办公室及下属各预算单位占用使用国有资产总体情况为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1.房屋156平方米，价值24.59万元。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2.车辆21辆，价值857.52万元；其中：一般公务用车  14辆，价值525.26万元；执法执勤用车0辆，价值0万元；其他车辆7辆，价值332.26万元。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3.办公家具价值15.99万元。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4.其他资产价值406.06万元。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2020年度，本年度实行绩效管理的项目5个，涉及预算金额174万元。具体情况见下表（按项目分别填报）：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061"/>
        <w:gridCol w:w="864"/>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克州政府办公室</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公务接待费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40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着力在提升服务质量上求突破，用新理念、新思想、新标准、新方式审视公务接待工作，圆满完成各项接待任务。</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省部级住宿标准1人1天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≤820元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厅级住宿标准1人1天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≤480元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其他住宿标准1人1天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≤320元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伙食补助1人1天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交通补助1人1天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2020年12月31日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全年共接待来州考察、调研、检查、学习参观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≤330团队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保障重大活重大活动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公务接待事故发生率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283" w:hRule="atLeast"/>
        </w:trPr>
        <w:tc>
          <w:tcPr>
            <w:tcW w:w="219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新理念、新思维、新标准、新方式审视公务接待工作，圆满完成各项接待任务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接待工作中注重融入本地历史、艺术、风土、民俗等特色元素，全方位展示克州的形象和魅力，让宾客在潜移默化中加深对克州的美好印象。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宾客满意率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克州政府办公室</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机场设施租用费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为进一步提高接待质量和接待水平，为来州要客办理机场贵宾通行。</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p>
            <w:pPr>
              <w:rPr>
                <w:rFonts w:ascii="宋体" w:hAnsi="宋体" w:cs="宋体"/>
                <w:sz w:val="18"/>
                <w:szCs w:val="18"/>
              </w:rPr>
            </w:pPr>
          </w:p>
          <w:p>
            <w:pPr>
              <w:rPr>
                <w:rFonts w:ascii="宋体" w:hAnsi="宋体" w:cs="宋体"/>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全年贵宾厅使用租金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贵宾厅服务开始时间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贵宾厅服务结束时间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2020年12月31日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全年贵宾厅使用组团</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≥100团组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全年贵宾厅使用人次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≤2000人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贵宾厅使用面积</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=106平米</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全年贵宾厅使用事故发生率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single" w:color="auto" w:sz="4" w:space="0"/>
              <w:left w:val="single" w:color="000000" w:sz="4" w:space="0"/>
              <w:right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按照中央八项规定、自治区、自治州有关公务接待规定完成公务接待</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按照中央八项规定、自治区、自治州有关公务接待规定完成公务接待　</w:t>
            </w:r>
          </w:p>
        </w:tc>
      </w:tr>
      <w:tr>
        <w:tblPrEx>
          <w:tblCellMar>
            <w:top w:w="0" w:type="dxa"/>
            <w:left w:w="108" w:type="dxa"/>
            <w:bottom w:w="0" w:type="dxa"/>
            <w:right w:w="108" w:type="dxa"/>
          </w:tblCellMar>
        </w:tblPrEx>
        <w:trPr>
          <w:trHeight w:val="283" w:hRule="atLeast"/>
        </w:trPr>
        <w:tc>
          <w:tcPr>
            <w:tcW w:w="2195" w:type="dxa"/>
            <w:vMerge w:val="continue"/>
            <w:tcBorders>
              <w:left w:val="single" w:color="000000" w:sz="4" w:space="0"/>
              <w:right w:val="single" w:color="000000" w:sz="4" w:space="0"/>
            </w:tcBorders>
            <w:vAlign w:val="center"/>
          </w:tcPr>
          <w:p>
            <w:pPr>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为进一步提高接待质量和接待水平，为来州要客办理机场贵宾通行。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提高接待贵宾质量和水平，树立美丽克州形象　</w:t>
            </w:r>
          </w:p>
        </w:tc>
      </w:tr>
      <w:tr>
        <w:tblPrEx>
          <w:tblCellMar>
            <w:top w:w="0" w:type="dxa"/>
            <w:left w:w="108" w:type="dxa"/>
            <w:bottom w:w="0" w:type="dxa"/>
            <w:right w:w="108" w:type="dxa"/>
          </w:tblCellMar>
        </w:tblPrEx>
        <w:trPr>
          <w:trHeight w:val="283"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使用贵宾厅宾客满意度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克州政府办公室</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为民办事工作等经费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通过开展群众工作，加强民族团结，增进民族互信，突出现代文化引领，促进宗教和谐，落实民生建设任务，增加农牧民收入，关心关爱贫困户、低保户、残疾人等特殊家庭，帮助解决生产生活中的实际困难，实现维护社会稳定和长治久安总目标。</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修建8间门面房经费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集中连片安装路灯经费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2020年12月31日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实现脱贫人数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=459人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解决群众生产生活困难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≥100件</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开展宣传宣讲惠民政策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每批开展宣传宣讲惠民政策参加群众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≥2230人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开展群众工作覆盖率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农民对宣讲宣传惠民政策收益率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以帮助劳动力缺乏困难家庭为重点，发挥“农机服务队”“志愿者服务队”作用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村容村貌进一步改善</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持续助力农民脱贫</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持续助力农民脱贫</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受益村民满意度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克州政府办公室</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提升该村基层组织工作能力，改善村委会办公基础条件，贯彻落实党的惠民政策；纵深推进扶贫攻坚。</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油耗（升）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办公综合耗材1批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开展群众工作开始时间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开展群众工作结束时间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2020年12月31日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群众工作车辆油耗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购买办公综合耗材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开展联谊活动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提升群众工作效率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购买物品验收合格率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全面贯彻落实党的民族政策，扎实开展“民族团结一家亲”和民族团结联谊活动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顺利完成“结亲周”和“两个全覆盖”工作</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持续贯彻落实党的惠民政策，提升民族团结意识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持续贯彻落实党的惠民政策，提升民族团结意识</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受益村民满意度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克州政府办公室</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业务活动经费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认真履行“参谋助手、综合协调、督查落实、保障服务”的工作职能，创新工作机制，完善工作措施，推动工作落实，不断提高“三办”“三服务”质量和水平，确保了州政府工作的高效有序运转。</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调研、检查工作伙食补助1人1天　</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自治州人民政府应急指挥中心系统维护每年　</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专网租赁每月</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自治州人民政府移动办公平台运行维护费</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各项工作开始时间</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2020年1月1日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各项工作结束时间</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2020年12月31日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全年编辑印发政务信政务信息</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自治区级重大督查事项</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自治州级重大督查事项</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保障完成自治区、自治州各类视频会议</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协同办公平台累计流转无纸化文档</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≤5000篇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云短信平台短信业务提醒督查率</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保证政府非涉密公文正常、高效流转</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应急指挥中指挥中心运维事故率</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调研乡（镇）、村覆盖率</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人大代表建议、政协委员提案办结率</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步推进协同办公应用，降低办公经费</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努力实现七成以上非涉密公文平台上办理，节约办公成本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充分发挥政务信息的主渠道作用，以优质、快速、准确的信息服务于领导决策</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充分发挥政务信息的主渠道作用，以优质、快速、准确的信息服务于领导决策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移动办公平台使用人员满意度</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1857"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503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数据真实情况抽查、领导决策参考率</w:t>
            </w:r>
          </w:p>
        </w:tc>
        <w:tc>
          <w:tcPr>
            <w:tcW w:w="488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r>
    </w:tbl>
    <w:p>
      <w:pPr>
        <w:rPr>
          <w:rFonts w:ascii="楷体_GB2312" w:hAnsi="宋体" w:eastAsia="楷体_GB2312" w:cs="宋体"/>
          <w:sz w:val="32"/>
          <w:szCs w:val="32"/>
        </w:rPr>
        <w:sectPr>
          <w:pgSz w:w="16838" w:h="11906" w:orient="landscape"/>
          <w:pgMar w:top="851" w:right="1440" w:bottom="851"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克州政府办公室 </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2020年1月19日</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03638"/>
    <w:rsid w:val="00012D28"/>
    <w:rsid w:val="00032AE8"/>
    <w:rsid w:val="000343F0"/>
    <w:rsid w:val="000B2350"/>
    <w:rsid w:val="000B4F23"/>
    <w:rsid w:val="000D56B0"/>
    <w:rsid w:val="00106382"/>
    <w:rsid w:val="00114DEC"/>
    <w:rsid w:val="00184789"/>
    <w:rsid w:val="001934F0"/>
    <w:rsid w:val="001E7D7B"/>
    <w:rsid w:val="002B57CE"/>
    <w:rsid w:val="00317FB8"/>
    <w:rsid w:val="00324290"/>
    <w:rsid w:val="00345818"/>
    <w:rsid w:val="00387451"/>
    <w:rsid w:val="003934F5"/>
    <w:rsid w:val="00415067"/>
    <w:rsid w:val="00432267"/>
    <w:rsid w:val="004468E5"/>
    <w:rsid w:val="00481CD5"/>
    <w:rsid w:val="004936ED"/>
    <w:rsid w:val="00493EEE"/>
    <w:rsid w:val="00585ADE"/>
    <w:rsid w:val="005C42E0"/>
    <w:rsid w:val="006148E3"/>
    <w:rsid w:val="00622F4C"/>
    <w:rsid w:val="006707E6"/>
    <w:rsid w:val="00674974"/>
    <w:rsid w:val="006C5C5C"/>
    <w:rsid w:val="007B11C2"/>
    <w:rsid w:val="008160EE"/>
    <w:rsid w:val="00844661"/>
    <w:rsid w:val="008715C9"/>
    <w:rsid w:val="00880A7A"/>
    <w:rsid w:val="008D1F17"/>
    <w:rsid w:val="009A59AB"/>
    <w:rsid w:val="009C0324"/>
    <w:rsid w:val="009D0AA2"/>
    <w:rsid w:val="009D699B"/>
    <w:rsid w:val="00A0722A"/>
    <w:rsid w:val="00A66BC3"/>
    <w:rsid w:val="00B217DF"/>
    <w:rsid w:val="00B22D8A"/>
    <w:rsid w:val="00B26FE3"/>
    <w:rsid w:val="00B92AA3"/>
    <w:rsid w:val="00BA4CA6"/>
    <w:rsid w:val="00BE6916"/>
    <w:rsid w:val="00BF15CF"/>
    <w:rsid w:val="00C4565E"/>
    <w:rsid w:val="00C800A8"/>
    <w:rsid w:val="00CF322B"/>
    <w:rsid w:val="00D06D6F"/>
    <w:rsid w:val="00D34CE6"/>
    <w:rsid w:val="00D66547"/>
    <w:rsid w:val="00D94B9C"/>
    <w:rsid w:val="00DA57FA"/>
    <w:rsid w:val="00DF601D"/>
    <w:rsid w:val="00E32701"/>
    <w:rsid w:val="00E468BB"/>
    <w:rsid w:val="00E469CA"/>
    <w:rsid w:val="00E50DC1"/>
    <w:rsid w:val="00E5371B"/>
    <w:rsid w:val="00E7167C"/>
    <w:rsid w:val="00F313FB"/>
    <w:rsid w:val="00F714FC"/>
    <w:rsid w:val="00FB2336"/>
    <w:rsid w:val="00FF76DB"/>
    <w:rsid w:val="00FF7724"/>
    <w:rsid w:val="3F7E1D9A"/>
    <w:rsid w:val="52030ACC"/>
    <w:rsid w:val="668966C1"/>
    <w:rsid w:val="7E35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rPr>
  </w:style>
  <w:style w:type="character" w:customStyle="1" w:styleId="18">
    <w:name w:val="批注框文本 Char"/>
    <w:link w:val="2"/>
    <w:semiHidden/>
    <w:qFormat/>
    <w:uiPriority w:val="0"/>
    <w:rPr>
      <w:rFonts w:ascii="Times New Roman" w:hAnsi="Times New Roman" w:eastAsia="宋体" w:cs="Times New Roman"/>
      <w:sz w:val="18"/>
      <w:szCs w:val="18"/>
    </w:rPr>
  </w:style>
  <w:style w:type="character" w:customStyle="1" w:styleId="19">
    <w:name w:val="页眉 字符1"/>
    <w:qFormat/>
    <w:uiPriority w:val="0"/>
    <w:rPr>
      <w:rFonts w:ascii="Times New Roman" w:hAnsi="Times New Roman" w:eastAsia="宋体" w:cs="Times New Roman"/>
      <w:sz w:val="18"/>
      <w:szCs w:val="18"/>
    </w:rPr>
  </w:style>
  <w:style w:type="character" w:customStyle="1" w:styleId="20">
    <w:name w:val="正文文本缩进 3 Char"/>
    <w:link w:val="5"/>
    <w:qFormat/>
    <w:uiPriority w:val="0"/>
    <w:rPr>
      <w:rFonts w:ascii="Times New Roman" w:hAnsi="Times New Roman" w:eastAsia="仿宋_GB2312" w:cs="Times New Roman"/>
      <w:sz w:val="32"/>
      <w:szCs w:val="24"/>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37F69-988E-4933-AA3F-4C01B9E19BD5}">
  <ds:schemaRefs/>
</ds:datastoreItem>
</file>

<file path=docProps/app.xml><?xml version="1.0" encoding="utf-8"?>
<Properties xmlns="http://schemas.openxmlformats.org/officeDocument/2006/extended-properties" xmlns:vt="http://schemas.openxmlformats.org/officeDocument/2006/docPropsVTypes">
  <Template>Normal</Template>
  <Pages>29</Pages>
  <Words>2251</Words>
  <Characters>12837</Characters>
  <Lines>106</Lines>
  <Paragraphs>30</Paragraphs>
  <TotalTime>59</TotalTime>
  <ScaleCrop>false</ScaleCrop>
  <LinksUpToDate>false</LinksUpToDate>
  <CharactersWithSpaces>15058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2020-01-19T02:17:00Z</dcterms:created>
  <dc:creator>穆斯塔帕</dc:creator>
  <cp:lastModifiedBy>Administrator</cp:lastModifiedBy>
  <cp:lastPrinted>2020-11-26T05:05:00Z</cp:lastPrinted>
  <dcterms:modified xsi:type="dcterms:W3CDTF">2021-05-19T11:24:03Z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