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克孜勒苏柯尔克孜自治州政府办公室2020年部门预算公开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克州政府办公室单位概况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一、关于克州政府办公室2020年收支预算情况的总体说明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二、关于克州政府办公室2020年收入预算情况说明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三、关于克州政府办公室2020年支出预算情况说明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四、关于克州政府办公室2020年财政拨款收支预算情况的总体说明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五、关于克州政府办公室2020年一般公共预算当年拨款情况说明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六、关于克州政府办公室2020年一般公共预算基本支出情况说明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七、关于克州政府办公室2020年项目支出情况说明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八、关于克州政府办公室2020年一般公共预算“三公”经费预算情况说明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九、关于克州政府办公室2020年政府性基金预算拨款情况说明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克州政府办公室单位概况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pStyle w:val="6"/>
        <w:shd w:val="clear" w:color="auto" w:fill="FFFFFF"/>
        <w:spacing w:beforeAutospacing="0" w:afterAutospacing="0" w:line="560" w:lineRule="exact"/>
        <w:ind w:firstLine="42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）负责克州人民政府各项决议、决定、重要工作部署以及政府领导重要批示贯彻执行情况的督促检查和跟踪调研，并及时向政府领导报告；负责人大代表建议和政协委员提案的督办工作。</w:t>
      </w:r>
    </w:p>
    <w:p>
      <w:pPr>
        <w:pStyle w:val="6"/>
        <w:shd w:val="clear" w:color="auto" w:fill="FFFFFF"/>
        <w:spacing w:beforeAutospacing="0" w:afterAutospacing="0" w:line="560" w:lineRule="exact"/>
        <w:ind w:firstLine="42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）负责克州人民政府会议的会务、会议纪要整理工作，协助克州人民政府领导同志组织实施会议决定事项。</w:t>
      </w:r>
    </w:p>
    <w:p>
      <w:pPr>
        <w:pStyle w:val="6"/>
        <w:shd w:val="clear" w:color="auto" w:fill="FFFFFF"/>
        <w:spacing w:beforeAutospacing="0" w:afterAutospacing="0" w:line="560" w:lineRule="exact"/>
        <w:ind w:firstLine="42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3</w:t>
      </w:r>
      <w:r>
        <w:rPr>
          <w:rFonts w:hint="eastAsia" w:ascii="仿宋_GB2312" w:eastAsia="仿宋_GB2312" w:cs="仿宋_GB2312"/>
          <w:sz w:val="32"/>
          <w:szCs w:val="32"/>
        </w:rPr>
        <w:t>）协助克州人民政府领导同志组织起草或审核以克州人民政府、克州人民政府办公室名义发布的公文。负责自治州人民政府日常文电处理和日常事务工作。负责自治州人民政府领导同志参加重大活动的组织协调工作。</w:t>
      </w:r>
    </w:p>
    <w:p>
      <w:pPr>
        <w:pStyle w:val="6"/>
        <w:shd w:val="clear" w:color="auto" w:fill="FFFFFF"/>
        <w:spacing w:beforeAutospacing="0" w:afterAutospacing="0" w:line="560" w:lineRule="exact"/>
        <w:ind w:firstLine="42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4</w:t>
      </w:r>
      <w:r>
        <w:rPr>
          <w:rFonts w:hint="eastAsia" w:ascii="仿宋_GB2312" w:eastAsia="仿宋_GB2312" w:cs="仿宋_GB2312"/>
          <w:sz w:val="32"/>
          <w:szCs w:val="32"/>
        </w:rPr>
        <w:t>）研究自治州人民政府各部门和县（市）人民政府请示自治州人民政府的事项，提出审核意见，报自治州人民政府领导同志审定。</w:t>
      </w:r>
    </w:p>
    <w:p>
      <w:pPr>
        <w:pStyle w:val="6"/>
        <w:shd w:val="clear" w:color="auto" w:fill="FFFFFF"/>
        <w:spacing w:beforeAutospacing="0" w:afterAutospacing="0" w:line="560" w:lineRule="exact"/>
        <w:ind w:firstLine="42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5</w:t>
      </w:r>
      <w:r>
        <w:rPr>
          <w:rFonts w:hint="eastAsia" w:ascii="仿宋_GB2312" w:eastAsia="仿宋_GB2312" w:cs="仿宋_GB2312"/>
          <w:sz w:val="32"/>
          <w:szCs w:val="32"/>
        </w:rPr>
        <w:t>）负责自治州人民政府决策工作的调研研究、政府领导活动记录、政府决策信息的收集、汇总、编报工作。根据自治州人民政府的工作重点，组织专题调查研究、反映情况、提出建议。</w:t>
      </w:r>
    </w:p>
    <w:p>
      <w:pPr>
        <w:pStyle w:val="6"/>
        <w:shd w:val="clear" w:color="auto" w:fill="FFFFFF"/>
        <w:spacing w:beforeAutospacing="0" w:afterAutospacing="0" w:line="560" w:lineRule="exact"/>
        <w:ind w:firstLine="42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6</w:t>
      </w:r>
      <w:r>
        <w:rPr>
          <w:rFonts w:hint="eastAsia" w:ascii="仿宋_GB2312" w:eastAsia="仿宋_GB2312" w:cs="仿宋_GB2312"/>
          <w:sz w:val="32"/>
          <w:szCs w:val="32"/>
        </w:rPr>
        <w:t>）负责自治州人民政府决策部署相关信息的收集、整理、编发、为经济社会发展提供政务信息服务工作。</w:t>
      </w:r>
    </w:p>
    <w:p>
      <w:pPr>
        <w:pStyle w:val="6"/>
        <w:shd w:val="clear" w:color="auto" w:fill="FFFFFF"/>
        <w:spacing w:beforeAutospacing="0" w:afterAutospacing="0" w:line="560" w:lineRule="exact"/>
        <w:ind w:firstLine="42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7</w:t>
      </w:r>
      <w:r>
        <w:rPr>
          <w:rFonts w:hint="eastAsia" w:ascii="仿宋_GB2312" w:eastAsia="仿宋_GB2312" w:cs="仿宋_GB2312"/>
          <w:sz w:val="32"/>
          <w:szCs w:val="32"/>
        </w:rPr>
        <w:t>）负责自治州人民政府相关日常工作，负责对外联络、综合协调、管理服务工作。</w:t>
      </w:r>
    </w:p>
    <w:p>
      <w:pPr>
        <w:pStyle w:val="6"/>
        <w:shd w:val="clear" w:color="auto" w:fill="FFFFFF"/>
        <w:spacing w:beforeAutospacing="0" w:afterAutospacing="0" w:line="560" w:lineRule="exact"/>
        <w:ind w:firstLine="42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8</w:t>
      </w:r>
      <w:r>
        <w:rPr>
          <w:rFonts w:hint="eastAsia" w:ascii="仿宋_GB2312" w:eastAsia="仿宋_GB2312" w:cs="仿宋_GB2312"/>
          <w:sz w:val="32"/>
          <w:szCs w:val="32"/>
        </w:rPr>
        <w:t>）负责自治州人民政府领导同志召开的相关会议笔译、口译工作，负责相关工作的翻译任务。</w:t>
      </w:r>
    </w:p>
    <w:p>
      <w:pPr>
        <w:pStyle w:val="6"/>
        <w:shd w:val="clear" w:color="auto" w:fill="FFFFFF"/>
        <w:spacing w:beforeAutospacing="0" w:afterAutospacing="0" w:line="560" w:lineRule="exact"/>
        <w:ind w:firstLine="42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9</w:t>
      </w:r>
      <w:r>
        <w:rPr>
          <w:rFonts w:hint="eastAsia" w:ascii="仿宋_GB2312" w:eastAsia="仿宋_GB2312" w:cs="仿宋_GB2312"/>
          <w:sz w:val="32"/>
          <w:szCs w:val="32"/>
        </w:rPr>
        <w:t>）负责自治州人民政府及政府领导同志的日常事务管理、后勤服务保障工作。</w:t>
      </w:r>
    </w:p>
    <w:p>
      <w:pPr>
        <w:pStyle w:val="6"/>
        <w:shd w:val="clear" w:color="auto" w:fill="FFFFFF"/>
        <w:spacing w:beforeAutospacing="0" w:afterAutospacing="0" w:line="560" w:lineRule="exact"/>
        <w:ind w:firstLine="42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0）负责自治州人民政府系统的政务值班、应急值守和督促检查工作，以及政府领导同志处置各类突发事件的服务保障。</w:t>
      </w:r>
    </w:p>
    <w:p>
      <w:pPr>
        <w:pStyle w:val="6"/>
        <w:shd w:val="clear" w:color="auto" w:fill="FFFFFF"/>
        <w:spacing w:beforeAutospacing="0" w:afterAutospacing="0" w:line="560" w:lineRule="exact"/>
        <w:ind w:firstLine="420"/>
        <w:rPr>
          <w:rFonts w:ascii="仿宋_GB2312" w:eastAsia="仿宋_GB2312" w:cs="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1）负责指导、监督自治州政务公开和政府信息公开工作。</w:t>
      </w:r>
    </w:p>
    <w:p>
      <w:pPr>
        <w:pStyle w:val="6"/>
        <w:shd w:val="clear" w:color="auto" w:fill="FFFFFF"/>
        <w:spacing w:beforeAutospacing="0" w:afterAutospacing="0" w:line="560" w:lineRule="exact"/>
        <w:ind w:firstLine="420"/>
        <w:rPr>
          <w:rFonts w:ascii="仿宋_GB2312" w:eastAsia="仿宋_GB2312" w:cs="Times New Roman"/>
          <w:sz w:val="32"/>
          <w:szCs w:val="32"/>
        </w:rPr>
      </w:pPr>
      <w:r>
        <w:rPr>
          <w:rFonts w:hint="eastAsia" w:ascii="仿宋_GB2312" w:eastAsia="仿宋_GB2312" w:cs="仿宋_GB2312"/>
          <w:sz w:val="32"/>
          <w:szCs w:val="32"/>
        </w:rPr>
        <w:t>（12）负责推进、指导、协调政府系统电子政务工作。</w:t>
      </w:r>
    </w:p>
    <w:p>
      <w:pPr>
        <w:pStyle w:val="6"/>
        <w:shd w:val="clear" w:color="auto" w:fill="FFFFFF"/>
        <w:spacing w:beforeAutospacing="0" w:afterAutospacing="0" w:line="560" w:lineRule="exact"/>
        <w:ind w:firstLine="42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3）负责自治州人民政府驻外办事机构的管理工作。</w:t>
      </w:r>
    </w:p>
    <w:p>
      <w:pPr>
        <w:pStyle w:val="6"/>
        <w:shd w:val="clear" w:color="auto" w:fill="FFFFFF"/>
        <w:spacing w:beforeAutospacing="0" w:afterAutospacing="0" w:line="560" w:lineRule="exact"/>
        <w:ind w:firstLine="42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14</w:t>
      </w:r>
      <w:r>
        <w:rPr>
          <w:rFonts w:hint="eastAsia" w:ascii="仿宋_GB2312" w:eastAsia="仿宋_GB2312" w:cs="仿宋_GB2312"/>
          <w:sz w:val="32"/>
          <w:szCs w:val="32"/>
        </w:rPr>
        <w:t>）承办自治州人民政府和自治州人民政府领导交办的其他事项。</w:t>
      </w:r>
      <w:r>
        <w:rPr>
          <w:rFonts w:hint="eastAsia" w:ascii="仿宋_GB2312" w:eastAsia="仿宋_GB2312"/>
          <w:bCs/>
          <w:sz w:val="32"/>
          <w:szCs w:val="32"/>
        </w:rPr>
        <w:t xml:space="preserve">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州政府办公室无下属预算单位，下设12个处室，分别是：公文处理科、秘书一科、秘书二科、综合科、信息科、自治州人民政府督查室、自治州人民政府政务服务办公室、总值班室、政策法规科、人事科、行政财务科、后勤服务科</w:t>
      </w:r>
      <w:r>
        <w:rPr>
          <w:rFonts w:hint="eastAsia" w:ascii="仿宋_GB2312" w:hAnsi="宋体" w:eastAsia="仿宋_GB2312" w:cs="宋体"/>
          <w:kern w:val="0"/>
          <w:sz w:val="32"/>
          <w:szCs w:val="32"/>
        </w:rPr>
        <w:t>。</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克州政府办公室编制数61，实有人数107人，其中：在职    72人，增加12人； 退休35人，增加或减少0人；离休0人，增加或减少0人。</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编制部门：克州政府办公室                                    单位：万元</w:t>
      </w:r>
    </w:p>
    <w:tbl>
      <w:tblPr>
        <w:tblStyle w:val="7"/>
        <w:tblW w:w="8662" w:type="dxa"/>
        <w:tblInd w:w="93" w:type="dxa"/>
        <w:tblLayout w:type="autofit"/>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1459.62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1476.62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1459.62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17.00</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1476.62</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1476.62</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6.6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1483.22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1476.62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填报部门：克州政府办公室                                         单位：万元</w:t>
      </w:r>
    </w:p>
    <w:tbl>
      <w:tblPr>
        <w:tblStyle w:val="7"/>
        <w:tblW w:w="10292" w:type="dxa"/>
        <w:tblInd w:w="-773" w:type="dxa"/>
        <w:tblLayout w:type="autofit"/>
        <w:tblCellMar>
          <w:top w:w="0" w:type="dxa"/>
          <w:left w:w="108" w:type="dxa"/>
          <w:bottom w:w="0" w:type="dxa"/>
          <w:right w:w="108" w:type="dxa"/>
        </w:tblCellMar>
      </w:tblPr>
      <w:tblGrid>
        <w:gridCol w:w="516"/>
        <w:gridCol w:w="417"/>
        <w:gridCol w:w="417"/>
        <w:gridCol w:w="1005"/>
        <w:gridCol w:w="916"/>
        <w:gridCol w:w="916"/>
        <w:gridCol w:w="588"/>
        <w:gridCol w:w="567"/>
        <w:gridCol w:w="567"/>
        <w:gridCol w:w="514"/>
        <w:gridCol w:w="709"/>
        <w:gridCol w:w="567"/>
        <w:gridCol w:w="514"/>
        <w:gridCol w:w="709"/>
        <w:gridCol w:w="1370"/>
      </w:tblGrid>
      <w:tr>
        <w:tblPrEx>
          <w:tblCellMar>
            <w:top w:w="0" w:type="dxa"/>
            <w:left w:w="108" w:type="dxa"/>
            <w:bottom w:w="0" w:type="dxa"/>
            <w:right w:w="108" w:type="dxa"/>
          </w:tblCellMar>
        </w:tblPrEx>
        <w:trPr>
          <w:trHeight w:val="510" w:hRule="atLeast"/>
        </w:trPr>
        <w:tc>
          <w:tcPr>
            <w:tcW w:w="12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33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8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5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5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67"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567"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37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87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33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8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67"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67"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37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201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03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13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行政运行　</w:t>
            </w:r>
          </w:p>
        </w:tc>
        <w:tc>
          <w:tcPr>
            <w:tcW w:w="82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1483.22　</w:t>
            </w:r>
          </w:p>
        </w:tc>
        <w:tc>
          <w:tcPr>
            <w:tcW w:w="68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1459.62　</w:t>
            </w:r>
          </w:p>
        </w:tc>
        <w:tc>
          <w:tcPr>
            <w:tcW w:w="588"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17</w:t>
            </w:r>
          </w:p>
        </w:tc>
        <w:tc>
          <w:tcPr>
            <w:tcW w:w="709"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70" w:type="dxa"/>
            <w:tcBorders>
              <w:top w:val="nil"/>
              <w:left w:val="nil"/>
              <w:bottom w:val="single" w:color="auto" w:sz="4" w:space="0"/>
              <w:right w:val="single" w:color="auto" w:sz="4" w:space="0"/>
            </w:tcBorders>
            <w:shd w:val="clear" w:color="000000" w:fill="FFFFFF"/>
            <w:noWrap/>
            <w:vAlign w:val="center"/>
          </w:tcPr>
          <w:p>
            <w:pPr>
              <w:rPr>
                <w:rFonts w:ascii="仿宋_GB2312" w:hAnsi="宋体" w:eastAsia="仿宋_GB2312" w:cs="宋体"/>
                <w:color w:val="000000"/>
                <w:sz w:val="20"/>
                <w:szCs w:val="20"/>
              </w:rPr>
            </w:pPr>
            <w:r>
              <w:rPr>
                <w:rFonts w:hint="eastAsia" w:ascii="仿宋_GB2312" w:hAnsi="宋体" w:eastAsia="仿宋_GB2312" w:cs="宋体"/>
                <w:color w:val="000000"/>
                <w:sz w:val="20"/>
                <w:szCs w:val="20"/>
              </w:rPr>
              <w:t>6.6</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7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7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7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7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7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7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7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7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7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7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7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7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7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7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7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7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1483.22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1459.62　</w:t>
            </w:r>
          </w:p>
        </w:tc>
        <w:tc>
          <w:tcPr>
            <w:tcW w:w="5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17</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7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6.6</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编制部门：克州政府办公室                                       单位：万元</w:t>
      </w:r>
    </w:p>
    <w:tbl>
      <w:tblPr>
        <w:tblStyle w:val="7"/>
        <w:tblW w:w="9420" w:type="dxa"/>
        <w:tblInd w:w="-240" w:type="dxa"/>
        <w:tblLayout w:type="autofit"/>
        <w:tblCellMar>
          <w:top w:w="0" w:type="dxa"/>
          <w:left w:w="108" w:type="dxa"/>
          <w:bottom w:w="0" w:type="dxa"/>
          <w:right w:w="108" w:type="dxa"/>
        </w:tblCellMar>
      </w:tblPr>
      <w:tblGrid>
        <w:gridCol w:w="549"/>
        <w:gridCol w:w="438"/>
        <w:gridCol w:w="438"/>
        <w:gridCol w:w="2523"/>
        <w:gridCol w:w="1815"/>
        <w:gridCol w:w="1816"/>
        <w:gridCol w:w="1841"/>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201</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03</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01</w:t>
            </w: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行政运行　</w:t>
            </w: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1352.62　</w:t>
            </w: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1302.62　</w:t>
            </w: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50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201</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03</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99</w:t>
            </w: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其他办公厅（室）及相关机构事务支出　</w:t>
            </w: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124　</w:t>
            </w: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124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　1476.62</w:t>
            </w:r>
          </w:p>
        </w:tc>
        <w:tc>
          <w:tcPr>
            <w:tcW w:w="1856"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1302.62　</w:t>
            </w:r>
          </w:p>
        </w:tc>
        <w:tc>
          <w:tcPr>
            <w:tcW w:w="190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174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4"/>
        </w:rPr>
        <w:t>克州政府办公室</w:t>
      </w:r>
      <w:r>
        <w:rPr>
          <w:rFonts w:hint="eastAsia" w:ascii="仿宋_GB2312" w:hAnsi="宋体" w:eastAsia="仿宋_GB2312"/>
          <w:kern w:val="0"/>
          <w:sz w:val="28"/>
          <w:szCs w:val="28"/>
        </w:rPr>
        <w:t xml:space="preserve">                                单位：万元</w:t>
      </w:r>
    </w:p>
    <w:tbl>
      <w:tblPr>
        <w:tblStyle w:val="7"/>
        <w:tblW w:w="9449" w:type="dxa"/>
        <w:tblInd w:w="-240" w:type="dxa"/>
        <w:tblLayout w:type="autofit"/>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1459.62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1459.62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1459.62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1459.62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1459.62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1459.62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1459.62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autofit"/>
        <w:tblCellMar>
          <w:top w:w="0" w:type="dxa"/>
          <w:left w:w="108" w:type="dxa"/>
          <w:bottom w:w="0" w:type="dxa"/>
          <w:right w:w="108" w:type="dxa"/>
        </w:tblCellMar>
      </w:tblPr>
      <w:tblGrid>
        <w:gridCol w:w="568"/>
        <w:gridCol w:w="492"/>
        <w:gridCol w:w="418"/>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编制部门：克州政府办公室</w:t>
            </w:r>
          </w:p>
        </w:tc>
        <w:tc>
          <w:tcPr>
            <w:tcW w:w="66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03</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ascii="仿宋_GB2312" w:hAnsi="宋体" w:eastAsia="仿宋_GB2312" w:cs="宋体"/>
                <w:b/>
                <w:color w:val="000000"/>
                <w:kern w:val="0"/>
                <w:sz w:val="20"/>
                <w:szCs w:val="20"/>
              </w:rPr>
              <w:t>行政运行</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1352.62</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1302.62</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50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其他办公厅（室）及相关机构事务支出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107</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107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1459.62</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1302.62</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157</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fixed"/>
        <w:tblCellMar>
          <w:top w:w="0" w:type="dxa"/>
          <w:left w:w="108" w:type="dxa"/>
          <w:bottom w:w="0" w:type="dxa"/>
          <w:right w:w="108" w:type="dxa"/>
        </w:tblCellMar>
      </w:tblPr>
      <w:tblGrid>
        <w:gridCol w:w="682"/>
        <w:gridCol w:w="850"/>
        <w:gridCol w:w="2693"/>
        <w:gridCol w:w="1009"/>
        <w:gridCol w:w="692"/>
        <w:gridCol w:w="990"/>
        <w:gridCol w:w="711"/>
        <w:gridCol w:w="1701"/>
      </w:tblGrid>
      <w:tr>
        <w:tblPrEx>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编制部门：克州政府办公室</w:t>
            </w:r>
          </w:p>
        </w:tc>
        <w:tc>
          <w:tcPr>
            <w:tcW w:w="1009"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12" w:type="dxa"/>
            <w:gridSpan w:val="2"/>
            <w:tcBorders>
              <w:top w:val="nil"/>
              <w:left w:val="nil"/>
              <w:bottom w:val="nil"/>
              <w:right w:val="nil"/>
            </w:tcBorders>
            <w:shd w:val="clear" w:color="auto" w:fill="auto"/>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532"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6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6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349" w:hRule="atLeast"/>
        </w:trPr>
        <w:tc>
          <w:tcPr>
            <w:tcW w:w="682" w:type="dxa"/>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cs="宋体"/>
                <w:sz w:val="20"/>
                <w:szCs w:val="20"/>
              </w:rPr>
            </w:pPr>
            <w:r>
              <w:rPr>
                <w:rFonts w:hint="eastAsia" w:ascii="宋体" w:hAnsi="宋体"/>
                <w:sz w:val="20"/>
                <w:szCs w:val="20"/>
              </w:rPr>
              <w:t>302</w:t>
            </w:r>
          </w:p>
        </w:tc>
        <w:tc>
          <w:tcPr>
            <w:tcW w:w="850" w:type="dxa"/>
            <w:tcBorders>
              <w:top w:val="single" w:color="auto" w:sz="4" w:space="0"/>
              <w:left w:val="single" w:color="auto" w:sz="4" w:space="0"/>
              <w:bottom w:val="single" w:color="auto" w:sz="4" w:space="0"/>
              <w:right w:val="nil"/>
            </w:tcBorders>
            <w:shd w:val="clear" w:color="auto" w:fill="auto"/>
            <w:vAlign w:val="center"/>
          </w:tcPr>
          <w:p>
            <w:pPr>
              <w:rPr>
                <w:rFonts w:ascii="宋体" w:hAnsi="宋体"/>
                <w:sz w:val="20"/>
                <w:szCs w:val="20"/>
              </w:rPr>
            </w:pPr>
            <w:r>
              <w:rPr>
                <w:rFonts w:hint="eastAsia" w:ascii="宋体" w:hAnsi="宋体"/>
                <w:sz w:val="20"/>
                <w:szCs w:val="20"/>
              </w:rPr>
              <w:t>01</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ascii="宋体" w:hAnsi="宋体"/>
                <w:sz w:val="20"/>
                <w:szCs w:val="20"/>
              </w:rPr>
              <w:t>办公费</w:t>
            </w: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10.00 </w:t>
            </w: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10.00 </w:t>
            </w:r>
          </w:p>
        </w:tc>
      </w:tr>
      <w:tr>
        <w:tblPrEx>
          <w:tblCellMar>
            <w:top w:w="0" w:type="dxa"/>
            <w:left w:w="108" w:type="dxa"/>
            <w:bottom w:w="0" w:type="dxa"/>
            <w:right w:w="108" w:type="dxa"/>
          </w:tblCellMar>
        </w:tblPrEx>
        <w:trPr>
          <w:trHeight w:val="426" w:hRule="atLeast"/>
        </w:trPr>
        <w:tc>
          <w:tcPr>
            <w:tcW w:w="682"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20"/>
                <w:szCs w:val="20"/>
              </w:rPr>
            </w:pPr>
            <w:r>
              <w:rPr>
                <w:rFonts w:hint="eastAsia" w:ascii="宋体" w:hAnsi="宋体"/>
                <w:sz w:val="20"/>
                <w:szCs w:val="20"/>
              </w:rPr>
              <w:t>302</w:t>
            </w:r>
          </w:p>
        </w:tc>
        <w:tc>
          <w:tcPr>
            <w:tcW w:w="850" w:type="dxa"/>
            <w:tcBorders>
              <w:top w:val="nil"/>
              <w:left w:val="single" w:color="auto" w:sz="4" w:space="0"/>
              <w:bottom w:val="single" w:color="auto" w:sz="4" w:space="0"/>
              <w:right w:val="nil"/>
            </w:tcBorders>
            <w:shd w:val="clear" w:color="auto" w:fill="auto"/>
            <w:vAlign w:val="center"/>
          </w:tcPr>
          <w:p>
            <w:pPr>
              <w:rPr>
                <w:rFonts w:ascii="宋体" w:hAnsi="宋体" w:cs="宋体"/>
                <w:sz w:val="20"/>
                <w:szCs w:val="20"/>
              </w:rPr>
            </w:pPr>
            <w:r>
              <w:rPr>
                <w:rFonts w:hint="eastAsia" w:ascii="宋体" w:hAnsi="宋体"/>
                <w:sz w:val="20"/>
                <w:szCs w:val="20"/>
              </w:rPr>
              <w:t>31</w:t>
            </w:r>
          </w:p>
        </w:tc>
        <w:tc>
          <w:tcPr>
            <w:tcW w:w="2693"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ascii="宋体" w:hAnsi="宋体"/>
                <w:sz w:val="20"/>
                <w:szCs w:val="20"/>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93.60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93.60 </w:t>
            </w:r>
          </w:p>
        </w:tc>
      </w:tr>
      <w:tr>
        <w:tblPrEx>
          <w:tblCellMar>
            <w:top w:w="0" w:type="dxa"/>
            <w:left w:w="108" w:type="dxa"/>
            <w:bottom w:w="0" w:type="dxa"/>
            <w:right w:w="108" w:type="dxa"/>
          </w:tblCellMar>
        </w:tblPrEx>
        <w:trPr>
          <w:trHeight w:val="404" w:hRule="atLeast"/>
        </w:trPr>
        <w:tc>
          <w:tcPr>
            <w:tcW w:w="682"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20"/>
                <w:szCs w:val="20"/>
              </w:rPr>
            </w:pPr>
            <w:r>
              <w:rPr>
                <w:rFonts w:hint="eastAsia" w:ascii="宋体" w:hAnsi="宋体"/>
                <w:sz w:val="20"/>
                <w:szCs w:val="20"/>
              </w:rPr>
              <w:t>301</w:t>
            </w:r>
          </w:p>
        </w:tc>
        <w:tc>
          <w:tcPr>
            <w:tcW w:w="850" w:type="dxa"/>
            <w:tcBorders>
              <w:top w:val="nil"/>
              <w:left w:val="single" w:color="auto" w:sz="4" w:space="0"/>
              <w:bottom w:val="single" w:color="auto" w:sz="4" w:space="0"/>
              <w:right w:val="nil"/>
            </w:tcBorders>
            <w:shd w:val="clear" w:color="auto" w:fill="auto"/>
            <w:vAlign w:val="center"/>
          </w:tcPr>
          <w:p>
            <w:pPr>
              <w:rPr>
                <w:rFonts w:ascii="宋体" w:hAnsi="宋体" w:cs="宋体"/>
                <w:sz w:val="20"/>
                <w:szCs w:val="20"/>
              </w:rPr>
            </w:pPr>
            <w:r>
              <w:rPr>
                <w:rFonts w:hint="eastAsia" w:ascii="宋体" w:hAnsi="宋体"/>
                <w:sz w:val="20"/>
                <w:szCs w:val="20"/>
              </w:rPr>
              <w:t>13</w:t>
            </w:r>
          </w:p>
        </w:tc>
        <w:tc>
          <w:tcPr>
            <w:tcW w:w="2693"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ascii="宋体" w:hAnsi="宋体"/>
                <w:sz w:val="20"/>
                <w:szCs w:val="20"/>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78.20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78.20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r>
      <w:tr>
        <w:tblPrEx>
          <w:tblCellMar>
            <w:top w:w="0" w:type="dxa"/>
            <w:left w:w="108" w:type="dxa"/>
            <w:bottom w:w="0" w:type="dxa"/>
            <w:right w:w="108" w:type="dxa"/>
          </w:tblCellMar>
        </w:tblPrEx>
        <w:trPr>
          <w:trHeight w:val="423" w:hRule="atLeast"/>
        </w:trPr>
        <w:tc>
          <w:tcPr>
            <w:tcW w:w="682"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20"/>
                <w:szCs w:val="20"/>
              </w:rPr>
            </w:pPr>
            <w:r>
              <w:rPr>
                <w:rFonts w:hint="eastAsia" w:ascii="宋体" w:hAnsi="宋体"/>
                <w:sz w:val="20"/>
                <w:szCs w:val="20"/>
              </w:rPr>
              <w:t>303</w:t>
            </w:r>
          </w:p>
        </w:tc>
        <w:tc>
          <w:tcPr>
            <w:tcW w:w="850" w:type="dxa"/>
            <w:tcBorders>
              <w:top w:val="nil"/>
              <w:left w:val="single" w:color="auto" w:sz="4" w:space="0"/>
              <w:bottom w:val="single" w:color="auto" w:sz="4" w:space="0"/>
              <w:right w:val="nil"/>
            </w:tcBorders>
            <w:shd w:val="clear" w:color="auto" w:fill="auto"/>
            <w:vAlign w:val="center"/>
          </w:tcPr>
          <w:p>
            <w:pPr>
              <w:rPr>
                <w:rFonts w:ascii="宋体" w:hAnsi="宋体" w:cs="宋体"/>
                <w:sz w:val="20"/>
                <w:szCs w:val="20"/>
              </w:rPr>
            </w:pPr>
            <w:r>
              <w:rPr>
                <w:rFonts w:hint="eastAsia" w:ascii="宋体" w:hAnsi="宋体"/>
                <w:sz w:val="20"/>
                <w:szCs w:val="20"/>
              </w:rPr>
              <w:t>09</w:t>
            </w:r>
          </w:p>
        </w:tc>
        <w:tc>
          <w:tcPr>
            <w:tcW w:w="2693"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ascii="宋体" w:hAnsi="宋体"/>
                <w:sz w:val="20"/>
                <w:szCs w:val="20"/>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4.09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4.09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r>
      <w:tr>
        <w:tblPrEx>
          <w:tblCellMar>
            <w:top w:w="0" w:type="dxa"/>
            <w:left w:w="108" w:type="dxa"/>
            <w:bottom w:w="0" w:type="dxa"/>
            <w:right w:w="108" w:type="dxa"/>
          </w:tblCellMar>
        </w:tblPrEx>
        <w:trPr>
          <w:trHeight w:val="416" w:hRule="atLeast"/>
        </w:trPr>
        <w:tc>
          <w:tcPr>
            <w:tcW w:w="682"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20"/>
                <w:szCs w:val="20"/>
              </w:rPr>
            </w:pPr>
            <w:r>
              <w:rPr>
                <w:rFonts w:hint="eastAsia" w:ascii="宋体" w:hAnsi="宋体"/>
                <w:sz w:val="20"/>
                <w:szCs w:val="20"/>
              </w:rPr>
              <w:t>302</w:t>
            </w:r>
          </w:p>
        </w:tc>
        <w:tc>
          <w:tcPr>
            <w:tcW w:w="850" w:type="dxa"/>
            <w:tcBorders>
              <w:top w:val="nil"/>
              <w:left w:val="single" w:color="auto" w:sz="4" w:space="0"/>
              <w:bottom w:val="single" w:color="auto" w:sz="4" w:space="0"/>
              <w:right w:val="nil"/>
            </w:tcBorders>
            <w:shd w:val="clear" w:color="auto" w:fill="auto"/>
            <w:vAlign w:val="center"/>
          </w:tcPr>
          <w:p>
            <w:pPr>
              <w:rPr>
                <w:rFonts w:ascii="宋体" w:hAnsi="宋体" w:cs="宋体"/>
                <w:sz w:val="20"/>
                <w:szCs w:val="20"/>
              </w:rPr>
            </w:pPr>
            <w:r>
              <w:rPr>
                <w:rFonts w:hint="eastAsia" w:ascii="宋体" w:hAnsi="宋体"/>
                <w:sz w:val="20"/>
                <w:szCs w:val="20"/>
              </w:rPr>
              <w:t>14</w:t>
            </w:r>
          </w:p>
        </w:tc>
        <w:tc>
          <w:tcPr>
            <w:tcW w:w="2693"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ascii="宋体" w:hAnsi="宋体"/>
                <w:sz w:val="20"/>
                <w:szCs w:val="20"/>
              </w:rPr>
              <w:t>租赁费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r>
      <w:tr>
        <w:tblPrEx>
          <w:tblCellMar>
            <w:top w:w="0" w:type="dxa"/>
            <w:left w:w="108" w:type="dxa"/>
            <w:bottom w:w="0" w:type="dxa"/>
            <w:right w:w="108" w:type="dxa"/>
          </w:tblCellMar>
        </w:tblPrEx>
        <w:trPr>
          <w:trHeight w:val="450" w:hRule="atLeast"/>
        </w:trPr>
        <w:tc>
          <w:tcPr>
            <w:tcW w:w="682"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20"/>
                <w:szCs w:val="20"/>
              </w:rPr>
            </w:pPr>
            <w:r>
              <w:rPr>
                <w:rFonts w:hint="eastAsia" w:ascii="宋体" w:hAnsi="宋体"/>
                <w:sz w:val="20"/>
                <w:szCs w:val="20"/>
              </w:rPr>
              <w:t>301</w:t>
            </w:r>
          </w:p>
        </w:tc>
        <w:tc>
          <w:tcPr>
            <w:tcW w:w="850" w:type="dxa"/>
            <w:tcBorders>
              <w:top w:val="nil"/>
              <w:left w:val="single" w:color="auto" w:sz="4" w:space="0"/>
              <w:bottom w:val="single" w:color="auto" w:sz="4" w:space="0"/>
              <w:right w:val="nil"/>
            </w:tcBorders>
            <w:shd w:val="clear" w:color="auto" w:fill="auto"/>
            <w:vAlign w:val="center"/>
          </w:tcPr>
          <w:p>
            <w:pPr>
              <w:rPr>
                <w:rFonts w:ascii="宋体" w:hAnsi="宋体" w:cs="宋体"/>
                <w:sz w:val="20"/>
                <w:szCs w:val="20"/>
              </w:rPr>
            </w:pPr>
            <w:r>
              <w:rPr>
                <w:rFonts w:hint="eastAsia" w:ascii="宋体" w:hAnsi="宋体"/>
                <w:sz w:val="20"/>
                <w:szCs w:val="20"/>
              </w:rPr>
              <w:t>08</w:t>
            </w:r>
          </w:p>
        </w:tc>
        <w:tc>
          <w:tcPr>
            <w:tcW w:w="2693"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ascii="宋体" w:hAnsi="宋体"/>
                <w:sz w:val="20"/>
                <w:szCs w:val="20"/>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108.49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108.49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r>
      <w:tr>
        <w:tblPrEx>
          <w:tblCellMar>
            <w:top w:w="0" w:type="dxa"/>
            <w:left w:w="108" w:type="dxa"/>
            <w:bottom w:w="0" w:type="dxa"/>
            <w:right w:w="108" w:type="dxa"/>
          </w:tblCellMar>
        </w:tblPrEx>
        <w:trPr>
          <w:trHeight w:val="444" w:hRule="atLeast"/>
        </w:trPr>
        <w:tc>
          <w:tcPr>
            <w:tcW w:w="682"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20"/>
                <w:szCs w:val="20"/>
              </w:rPr>
            </w:pPr>
            <w:r>
              <w:rPr>
                <w:rFonts w:hint="eastAsia" w:ascii="宋体" w:hAnsi="宋体"/>
                <w:sz w:val="20"/>
                <w:szCs w:val="20"/>
              </w:rPr>
              <w:t>301</w:t>
            </w:r>
          </w:p>
        </w:tc>
        <w:tc>
          <w:tcPr>
            <w:tcW w:w="850" w:type="dxa"/>
            <w:tcBorders>
              <w:top w:val="nil"/>
              <w:left w:val="single" w:color="auto" w:sz="4" w:space="0"/>
              <w:bottom w:val="single" w:color="auto" w:sz="4" w:space="0"/>
              <w:right w:val="nil"/>
            </w:tcBorders>
            <w:shd w:val="clear" w:color="auto" w:fill="auto"/>
            <w:vAlign w:val="center"/>
          </w:tcPr>
          <w:p>
            <w:pPr>
              <w:rPr>
                <w:rFonts w:ascii="宋体" w:hAnsi="宋体" w:cs="宋体"/>
                <w:sz w:val="20"/>
                <w:szCs w:val="20"/>
              </w:rPr>
            </w:pPr>
            <w:r>
              <w:rPr>
                <w:rFonts w:hint="eastAsia" w:ascii="宋体" w:hAnsi="宋体"/>
                <w:sz w:val="20"/>
                <w:szCs w:val="20"/>
              </w:rPr>
              <w:t>01</w:t>
            </w:r>
          </w:p>
        </w:tc>
        <w:tc>
          <w:tcPr>
            <w:tcW w:w="2693"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ascii="宋体" w:hAnsi="宋体"/>
                <w:sz w:val="20"/>
                <w:szCs w:val="20"/>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331.92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331.92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r>
      <w:tr>
        <w:tblPrEx>
          <w:tblCellMar>
            <w:top w:w="0" w:type="dxa"/>
            <w:left w:w="108" w:type="dxa"/>
            <w:bottom w:w="0" w:type="dxa"/>
            <w:right w:w="108" w:type="dxa"/>
          </w:tblCellMar>
        </w:tblPrEx>
        <w:trPr>
          <w:trHeight w:val="422" w:hRule="atLeast"/>
        </w:trPr>
        <w:tc>
          <w:tcPr>
            <w:tcW w:w="682"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20"/>
                <w:szCs w:val="20"/>
              </w:rPr>
            </w:pPr>
            <w:r>
              <w:rPr>
                <w:rFonts w:hint="eastAsia" w:ascii="宋体" w:hAnsi="宋体"/>
                <w:sz w:val="20"/>
                <w:szCs w:val="20"/>
              </w:rPr>
              <w:t>303</w:t>
            </w:r>
          </w:p>
        </w:tc>
        <w:tc>
          <w:tcPr>
            <w:tcW w:w="850" w:type="dxa"/>
            <w:tcBorders>
              <w:top w:val="nil"/>
              <w:left w:val="single" w:color="auto" w:sz="4" w:space="0"/>
              <w:bottom w:val="single" w:color="auto" w:sz="4" w:space="0"/>
              <w:right w:val="nil"/>
            </w:tcBorders>
            <w:shd w:val="clear" w:color="auto" w:fill="auto"/>
            <w:vAlign w:val="center"/>
          </w:tcPr>
          <w:p>
            <w:pPr>
              <w:rPr>
                <w:rFonts w:ascii="宋体" w:hAnsi="宋体" w:cs="宋体"/>
                <w:sz w:val="20"/>
                <w:szCs w:val="20"/>
              </w:rPr>
            </w:pPr>
            <w:r>
              <w:rPr>
                <w:rFonts w:hint="eastAsia" w:ascii="宋体" w:hAnsi="宋体"/>
                <w:sz w:val="20"/>
                <w:szCs w:val="20"/>
              </w:rPr>
              <w:t>02</w:t>
            </w:r>
          </w:p>
        </w:tc>
        <w:tc>
          <w:tcPr>
            <w:tcW w:w="2693"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ascii="宋体" w:hAnsi="宋体"/>
                <w:sz w:val="20"/>
                <w:szCs w:val="20"/>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30.52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30.52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r>
      <w:tr>
        <w:tblPrEx>
          <w:tblCellMar>
            <w:top w:w="0" w:type="dxa"/>
            <w:left w:w="108" w:type="dxa"/>
            <w:bottom w:w="0" w:type="dxa"/>
            <w:right w:w="108" w:type="dxa"/>
          </w:tblCellMar>
        </w:tblPrEx>
        <w:trPr>
          <w:trHeight w:val="440" w:hRule="atLeast"/>
        </w:trPr>
        <w:tc>
          <w:tcPr>
            <w:tcW w:w="682"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20"/>
                <w:szCs w:val="20"/>
              </w:rPr>
            </w:pPr>
            <w:r>
              <w:rPr>
                <w:rFonts w:hint="eastAsia" w:ascii="宋体" w:hAnsi="宋体"/>
                <w:sz w:val="20"/>
                <w:szCs w:val="20"/>
              </w:rPr>
              <w:t>302</w:t>
            </w:r>
          </w:p>
        </w:tc>
        <w:tc>
          <w:tcPr>
            <w:tcW w:w="850" w:type="dxa"/>
            <w:tcBorders>
              <w:top w:val="nil"/>
              <w:left w:val="single" w:color="auto" w:sz="4" w:space="0"/>
              <w:bottom w:val="single" w:color="auto" w:sz="4" w:space="0"/>
              <w:right w:val="nil"/>
            </w:tcBorders>
            <w:shd w:val="clear" w:color="auto" w:fill="auto"/>
            <w:vAlign w:val="center"/>
          </w:tcPr>
          <w:p>
            <w:pPr>
              <w:rPr>
                <w:rFonts w:ascii="宋体" w:hAnsi="宋体" w:cs="宋体"/>
                <w:sz w:val="20"/>
                <w:szCs w:val="20"/>
              </w:rPr>
            </w:pPr>
            <w:r>
              <w:rPr>
                <w:rFonts w:hint="eastAsia" w:ascii="宋体" w:hAnsi="宋体"/>
                <w:sz w:val="20"/>
                <w:szCs w:val="20"/>
              </w:rPr>
              <w:t>99</w:t>
            </w:r>
          </w:p>
        </w:tc>
        <w:tc>
          <w:tcPr>
            <w:tcW w:w="2693"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ascii="宋体" w:hAnsi="宋体"/>
                <w:sz w:val="20"/>
                <w:szCs w:val="20"/>
              </w:rPr>
              <w:t>其他商品和服务支出</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r>
      <w:tr>
        <w:tblPrEx>
          <w:tblCellMar>
            <w:top w:w="0" w:type="dxa"/>
            <w:left w:w="108" w:type="dxa"/>
            <w:bottom w:w="0" w:type="dxa"/>
            <w:right w:w="108" w:type="dxa"/>
          </w:tblCellMar>
        </w:tblPrEx>
        <w:trPr>
          <w:trHeight w:val="391" w:hRule="atLeast"/>
        </w:trPr>
        <w:tc>
          <w:tcPr>
            <w:tcW w:w="682"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20"/>
                <w:szCs w:val="20"/>
              </w:rPr>
            </w:pPr>
            <w:r>
              <w:rPr>
                <w:rFonts w:hint="eastAsia" w:ascii="宋体" w:hAnsi="宋体"/>
                <w:sz w:val="20"/>
                <w:szCs w:val="20"/>
              </w:rPr>
              <w:t>302</w:t>
            </w:r>
          </w:p>
        </w:tc>
        <w:tc>
          <w:tcPr>
            <w:tcW w:w="850" w:type="dxa"/>
            <w:tcBorders>
              <w:top w:val="nil"/>
              <w:left w:val="single" w:color="auto" w:sz="4" w:space="0"/>
              <w:bottom w:val="single" w:color="auto" w:sz="4" w:space="0"/>
              <w:right w:val="nil"/>
            </w:tcBorders>
            <w:shd w:val="clear" w:color="auto" w:fill="auto"/>
            <w:vAlign w:val="center"/>
          </w:tcPr>
          <w:p>
            <w:pPr>
              <w:rPr>
                <w:rFonts w:ascii="宋体" w:hAnsi="宋体" w:cs="宋体"/>
                <w:sz w:val="20"/>
                <w:szCs w:val="20"/>
              </w:rPr>
            </w:pPr>
            <w:r>
              <w:rPr>
                <w:rFonts w:hint="eastAsia" w:ascii="宋体" w:hAnsi="宋体"/>
                <w:sz w:val="20"/>
                <w:szCs w:val="20"/>
              </w:rPr>
              <w:t>29</w:t>
            </w:r>
          </w:p>
        </w:tc>
        <w:tc>
          <w:tcPr>
            <w:tcW w:w="2693"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ascii="宋体" w:hAnsi="宋体"/>
                <w:sz w:val="20"/>
                <w:szCs w:val="20"/>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8.42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8.42 </w:t>
            </w:r>
          </w:p>
        </w:tc>
      </w:tr>
      <w:tr>
        <w:tblPrEx>
          <w:tblCellMar>
            <w:top w:w="0" w:type="dxa"/>
            <w:left w:w="108" w:type="dxa"/>
            <w:bottom w:w="0" w:type="dxa"/>
            <w:right w:w="108" w:type="dxa"/>
          </w:tblCellMar>
        </w:tblPrEx>
        <w:trPr>
          <w:trHeight w:val="426" w:hRule="atLeast"/>
        </w:trPr>
        <w:tc>
          <w:tcPr>
            <w:tcW w:w="682"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20"/>
                <w:szCs w:val="20"/>
              </w:rPr>
            </w:pPr>
            <w:r>
              <w:rPr>
                <w:rFonts w:hint="eastAsia" w:ascii="宋体" w:hAnsi="宋体"/>
                <w:sz w:val="20"/>
                <w:szCs w:val="20"/>
              </w:rPr>
              <w:t>302</w:t>
            </w:r>
          </w:p>
        </w:tc>
        <w:tc>
          <w:tcPr>
            <w:tcW w:w="850" w:type="dxa"/>
            <w:tcBorders>
              <w:top w:val="nil"/>
              <w:left w:val="single" w:color="auto" w:sz="4" w:space="0"/>
              <w:bottom w:val="single" w:color="auto" w:sz="4" w:space="0"/>
              <w:right w:val="nil"/>
            </w:tcBorders>
            <w:shd w:val="clear" w:color="auto" w:fill="auto"/>
            <w:vAlign w:val="center"/>
          </w:tcPr>
          <w:p>
            <w:pPr>
              <w:rPr>
                <w:rFonts w:ascii="宋体" w:hAnsi="宋体" w:cs="宋体"/>
                <w:sz w:val="20"/>
                <w:szCs w:val="20"/>
              </w:rPr>
            </w:pPr>
            <w:r>
              <w:rPr>
                <w:rFonts w:hint="eastAsia" w:ascii="宋体" w:hAnsi="宋体"/>
                <w:sz w:val="20"/>
                <w:szCs w:val="20"/>
              </w:rPr>
              <w:t>17</w:t>
            </w:r>
          </w:p>
        </w:tc>
        <w:tc>
          <w:tcPr>
            <w:tcW w:w="2693"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ascii="宋体" w:hAnsi="宋体"/>
                <w:sz w:val="20"/>
                <w:szCs w:val="20"/>
              </w:rPr>
              <w:t>公务接待费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r>
      <w:tr>
        <w:tblPrEx>
          <w:tblCellMar>
            <w:top w:w="0" w:type="dxa"/>
            <w:left w:w="108" w:type="dxa"/>
            <w:bottom w:w="0" w:type="dxa"/>
            <w:right w:w="108" w:type="dxa"/>
          </w:tblCellMar>
        </w:tblPrEx>
        <w:trPr>
          <w:trHeight w:val="418" w:hRule="atLeast"/>
        </w:trPr>
        <w:tc>
          <w:tcPr>
            <w:tcW w:w="682"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20"/>
                <w:szCs w:val="20"/>
              </w:rPr>
            </w:pPr>
            <w:r>
              <w:rPr>
                <w:rFonts w:hint="eastAsia" w:ascii="宋体" w:hAnsi="宋体"/>
                <w:sz w:val="20"/>
                <w:szCs w:val="20"/>
              </w:rPr>
              <w:t>301</w:t>
            </w:r>
          </w:p>
        </w:tc>
        <w:tc>
          <w:tcPr>
            <w:tcW w:w="850" w:type="dxa"/>
            <w:tcBorders>
              <w:top w:val="nil"/>
              <w:left w:val="single" w:color="auto" w:sz="4" w:space="0"/>
              <w:bottom w:val="single" w:color="auto" w:sz="4" w:space="0"/>
              <w:right w:val="nil"/>
            </w:tcBorders>
            <w:shd w:val="clear" w:color="auto" w:fill="auto"/>
            <w:vAlign w:val="center"/>
          </w:tcPr>
          <w:p>
            <w:pPr>
              <w:rPr>
                <w:rFonts w:ascii="宋体" w:hAnsi="宋体" w:cs="宋体"/>
                <w:sz w:val="20"/>
                <w:szCs w:val="20"/>
              </w:rPr>
            </w:pPr>
            <w:r>
              <w:rPr>
                <w:rFonts w:hint="eastAsia" w:ascii="宋体" w:hAnsi="宋体"/>
                <w:sz w:val="20"/>
                <w:szCs w:val="20"/>
              </w:rPr>
              <w:t>03</w:t>
            </w:r>
          </w:p>
        </w:tc>
        <w:tc>
          <w:tcPr>
            <w:tcW w:w="2693"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ascii="宋体" w:hAnsi="宋体"/>
                <w:sz w:val="20"/>
                <w:szCs w:val="20"/>
              </w:rPr>
              <w:t>奖金</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27.66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27.66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r>
      <w:tr>
        <w:tblPrEx>
          <w:tblCellMar>
            <w:top w:w="0" w:type="dxa"/>
            <w:left w:w="108" w:type="dxa"/>
            <w:bottom w:w="0" w:type="dxa"/>
            <w:right w:w="108" w:type="dxa"/>
          </w:tblCellMar>
        </w:tblPrEx>
        <w:trPr>
          <w:trHeight w:val="409" w:hRule="atLeast"/>
        </w:trPr>
        <w:tc>
          <w:tcPr>
            <w:tcW w:w="682"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20"/>
                <w:szCs w:val="20"/>
              </w:rPr>
            </w:pPr>
            <w:r>
              <w:rPr>
                <w:rFonts w:hint="eastAsia" w:ascii="宋体" w:hAnsi="宋体"/>
                <w:sz w:val="20"/>
                <w:szCs w:val="20"/>
              </w:rPr>
              <w:t>301</w:t>
            </w:r>
          </w:p>
        </w:tc>
        <w:tc>
          <w:tcPr>
            <w:tcW w:w="850" w:type="dxa"/>
            <w:tcBorders>
              <w:top w:val="nil"/>
              <w:left w:val="single" w:color="auto" w:sz="4" w:space="0"/>
              <w:bottom w:val="single" w:color="auto" w:sz="4" w:space="0"/>
              <w:right w:val="nil"/>
            </w:tcBorders>
            <w:shd w:val="clear" w:color="auto" w:fill="auto"/>
            <w:vAlign w:val="center"/>
          </w:tcPr>
          <w:p>
            <w:pPr>
              <w:rPr>
                <w:rFonts w:ascii="宋体" w:hAnsi="宋体" w:cs="宋体"/>
                <w:sz w:val="20"/>
                <w:szCs w:val="20"/>
              </w:rPr>
            </w:pPr>
            <w:r>
              <w:rPr>
                <w:rFonts w:hint="eastAsia" w:ascii="宋体" w:hAnsi="宋体"/>
                <w:sz w:val="20"/>
                <w:szCs w:val="20"/>
              </w:rPr>
              <w:t>02</w:t>
            </w:r>
          </w:p>
        </w:tc>
        <w:tc>
          <w:tcPr>
            <w:tcW w:w="2693"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ascii="宋体" w:hAnsi="宋体"/>
                <w:sz w:val="20"/>
                <w:szCs w:val="20"/>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414.43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414.43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r>
      <w:tr>
        <w:tblPrEx>
          <w:tblCellMar>
            <w:top w:w="0" w:type="dxa"/>
            <w:left w:w="108" w:type="dxa"/>
            <w:bottom w:w="0" w:type="dxa"/>
            <w:right w:w="108" w:type="dxa"/>
          </w:tblCellMar>
        </w:tblPrEx>
        <w:trPr>
          <w:trHeight w:val="402" w:hRule="atLeast"/>
        </w:trPr>
        <w:tc>
          <w:tcPr>
            <w:tcW w:w="682"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20"/>
                <w:szCs w:val="20"/>
              </w:rPr>
            </w:pPr>
            <w:r>
              <w:rPr>
                <w:rFonts w:hint="eastAsia" w:ascii="宋体" w:hAnsi="宋体"/>
                <w:sz w:val="20"/>
                <w:szCs w:val="20"/>
              </w:rPr>
              <w:t>303</w:t>
            </w:r>
          </w:p>
        </w:tc>
        <w:tc>
          <w:tcPr>
            <w:tcW w:w="850" w:type="dxa"/>
            <w:tcBorders>
              <w:top w:val="nil"/>
              <w:left w:val="single" w:color="auto" w:sz="4" w:space="0"/>
              <w:bottom w:val="single" w:color="auto" w:sz="4" w:space="0"/>
              <w:right w:val="nil"/>
            </w:tcBorders>
            <w:shd w:val="clear" w:color="auto" w:fill="auto"/>
            <w:vAlign w:val="center"/>
          </w:tcPr>
          <w:p>
            <w:pPr>
              <w:rPr>
                <w:rFonts w:ascii="宋体" w:hAnsi="宋体" w:cs="宋体"/>
                <w:sz w:val="20"/>
                <w:szCs w:val="20"/>
              </w:rPr>
            </w:pPr>
            <w:r>
              <w:rPr>
                <w:rFonts w:hint="eastAsia" w:ascii="宋体" w:hAnsi="宋体"/>
                <w:sz w:val="20"/>
                <w:szCs w:val="20"/>
              </w:rPr>
              <w:t>05</w:t>
            </w:r>
          </w:p>
        </w:tc>
        <w:tc>
          <w:tcPr>
            <w:tcW w:w="2693"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ascii="宋体" w:hAnsi="宋体"/>
                <w:sz w:val="20"/>
                <w:szCs w:val="20"/>
              </w:rPr>
              <w:t>生活补助</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20.61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20.61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r>
      <w:tr>
        <w:tblPrEx>
          <w:tblCellMar>
            <w:top w:w="0" w:type="dxa"/>
            <w:left w:w="108" w:type="dxa"/>
            <w:bottom w:w="0" w:type="dxa"/>
            <w:right w:w="108" w:type="dxa"/>
          </w:tblCellMar>
        </w:tblPrEx>
        <w:trPr>
          <w:trHeight w:val="422" w:hRule="atLeast"/>
        </w:trPr>
        <w:tc>
          <w:tcPr>
            <w:tcW w:w="682"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20"/>
                <w:szCs w:val="20"/>
              </w:rPr>
            </w:pPr>
            <w:r>
              <w:rPr>
                <w:rFonts w:hint="eastAsia" w:ascii="宋体" w:hAnsi="宋体"/>
                <w:sz w:val="20"/>
                <w:szCs w:val="20"/>
              </w:rPr>
              <w:t>302</w:t>
            </w:r>
          </w:p>
        </w:tc>
        <w:tc>
          <w:tcPr>
            <w:tcW w:w="850" w:type="dxa"/>
            <w:tcBorders>
              <w:top w:val="nil"/>
              <w:left w:val="single" w:color="auto" w:sz="4" w:space="0"/>
              <w:bottom w:val="single" w:color="auto" w:sz="4" w:space="0"/>
              <w:right w:val="nil"/>
            </w:tcBorders>
            <w:shd w:val="clear" w:color="auto" w:fill="auto"/>
            <w:vAlign w:val="center"/>
          </w:tcPr>
          <w:p>
            <w:pPr>
              <w:rPr>
                <w:rFonts w:ascii="宋体" w:hAnsi="宋体" w:cs="宋体"/>
                <w:sz w:val="20"/>
                <w:szCs w:val="20"/>
              </w:rPr>
            </w:pPr>
            <w:r>
              <w:rPr>
                <w:rFonts w:hint="eastAsia" w:ascii="宋体" w:hAnsi="宋体"/>
                <w:sz w:val="20"/>
                <w:szCs w:val="20"/>
              </w:rPr>
              <w:t>28</w:t>
            </w:r>
          </w:p>
        </w:tc>
        <w:tc>
          <w:tcPr>
            <w:tcW w:w="2693"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ascii="宋体" w:hAnsi="宋体"/>
                <w:sz w:val="20"/>
                <w:szCs w:val="20"/>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4.68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4.68 </w:t>
            </w:r>
          </w:p>
        </w:tc>
      </w:tr>
      <w:tr>
        <w:tblPrEx>
          <w:tblCellMar>
            <w:top w:w="0" w:type="dxa"/>
            <w:left w:w="108" w:type="dxa"/>
            <w:bottom w:w="0" w:type="dxa"/>
            <w:right w:w="108" w:type="dxa"/>
          </w:tblCellMar>
        </w:tblPrEx>
        <w:trPr>
          <w:trHeight w:val="414" w:hRule="atLeast"/>
        </w:trPr>
        <w:tc>
          <w:tcPr>
            <w:tcW w:w="682"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20"/>
                <w:szCs w:val="20"/>
              </w:rPr>
            </w:pPr>
            <w:r>
              <w:rPr>
                <w:rFonts w:hint="eastAsia" w:ascii="宋体" w:hAnsi="宋体"/>
                <w:sz w:val="20"/>
                <w:szCs w:val="20"/>
              </w:rPr>
              <w:t>302</w:t>
            </w:r>
          </w:p>
        </w:tc>
        <w:tc>
          <w:tcPr>
            <w:tcW w:w="850" w:type="dxa"/>
            <w:tcBorders>
              <w:top w:val="nil"/>
              <w:left w:val="single" w:color="auto" w:sz="4" w:space="0"/>
              <w:bottom w:val="single" w:color="auto" w:sz="4" w:space="0"/>
              <w:right w:val="nil"/>
            </w:tcBorders>
            <w:shd w:val="clear" w:color="auto" w:fill="auto"/>
            <w:vAlign w:val="center"/>
          </w:tcPr>
          <w:p>
            <w:pPr>
              <w:rPr>
                <w:rFonts w:ascii="宋体" w:hAnsi="宋体" w:cs="宋体"/>
                <w:sz w:val="20"/>
                <w:szCs w:val="20"/>
              </w:rPr>
            </w:pPr>
            <w:r>
              <w:rPr>
                <w:rFonts w:hint="eastAsia" w:ascii="宋体" w:hAnsi="宋体"/>
                <w:sz w:val="20"/>
                <w:szCs w:val="20"/>
              </w:rPr>
              <w:t>11</w:t>
            </w:r>
          </w:p>
        </w:tc>
        <w:tc>
          <w:tcPr>
            <w:tcW w:w="2693"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ascii="宋体" w:hAnsi="宋体"/>
                <w:sz w:val="20"/>
                <w:szCs w:val="20"/>
              </w:rPr>
              <w:t>差旅费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59.84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59.84 </w:t>
            </w:r>
          </w:p>
        </w:tc>
      </w:tr>
      <w:tr>
        <w:tblPrEx>
          <w:tblCellMar>
            <w:top w:w="0" w:type="dxa"/>
            <w:left w:w="108" w:type="dxa"/>
            <w:bottom w:w="0" w:type="dxa"/>
            <w:right w:w="108" w:type="dxa"/>
          </w:tblCellMar>
        </w:tblPrEx>
        <w:trPr>
          <w:trHeight w:val="240" w:hRule="atLeast"/>
        </w:trPr>
        <w:tc>
          <w:tcPr>
            <w:tcW w:w="682"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20"/>
                <w:szCs w:val="20"/>
              </w:rPr>
            </w:pPr>
            <w:r>
              <w:rPr>
                <w:rFonts w:hint="eastAsia" w:ascii="宋体" w:hAnsi="宋体"/>
                <w:sz w:val="20"/>
                <w:szCs w:val="20"/>
              </w:rPr>
              <w:t>302</w:t>
            </w:r>
          </w:p>
        </w:tc>
        <w:tc>
          <w:tcPr>
            <w:tcW w:w="850" w:type="dxa"/>
            <w:tcBorders>
              <w:top w:val="nil"/>
              <w:left w:val="single" w:color="auto" w:sz="4" w:space="0"/>
              <w:bottom w:val="single" w:color="auto" w:sz="4" w:space="0"/>
              <w:right w:val="nil"/>
            </w:tcBorders>
            <w:shd w:val="clear" w:color="auto" w:fill="auto"/>
            <w:vAlign w:val="center"/>
          </w:tcPr>
          <w:p>
            <w:pPr>
              <w:rPr>
                <w:rFonts w:ascii="宋体" w:hAnsi="宋体" w:cs="宋体"/>
                <w:sz w:val="20"/>
                <w:szCs w:val="20"/>
              </w:rPr>
            </w:pPr>
            <w:r>
              <w:rPr>
                <w:rFonts w:hint="eastAsia" w:ascii="宋体" w:hAnsi="宋体"/>
                <w:sz w:val="20"/>
                <w:szCs w:val="20"/>
              </w:rPr>
              <w:t>07</w:t>
            </w:r>
          </w:p>
        </w:tc>
        <w:tc>
          <w:tcPr>
            <w:tcW w:w="2693"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ascii="宋体" w:hAnsi="宋体"/>
                <w:sz w:val="20"/>
                <w:szCs w:val="20"/>
              </w:rPr>
              <w:t>邮电费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10.00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10.00 </w:t>
            </w:r>
          </w:p>
        </w:tc>
      </w:tr>
      <w:tr>
        <w:tblPrEx>
          <w:tblCellMar>
            <w:top w:w="0" w:type="dxa"/>
            <w:left w:w="108" w:type="dxa"/>
            <w:bottom w:w="0" w:type="dxa"/>
            <w:right w:w="108" w:type="dxa"/>
          </w:tblCellMar>
        </w:tblPrEx>
        <w:trPr>
          <w:trHeight w:val="296" w:hRule="atLeast"/>
        </w:trPr>
        <w:tc>
          <w:tcPr>
            <w:tcW w:w="682"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20"/>
                <w:szCs w:val="20"/>
              </w:rPr>
            </w:pPr>
            <w:r>
              <w:rPr>
                <w:rFonts w:hint="eastAsia" w:ascii="宋体" w:hAnsi="宋体"/>
                <w:sz w:val="20"/>
                <w:szCs w:val="20"/>
              </w:rPr>
              <w:t>302</w:t>
            </w:r>
          </w:p>
        </w:tc>
        <w:tc>
          <w:tcPr>
            <w:tcW w:w="850" w:type="dxa"/>
            <w:tcBorders>
              <w:top w:val="nil"/>
              <w:left w:val="single" w:color="auto" w:sz="4" w:space="0"/>
              <w:bottom w:val="single" w:color="auto" w:sz="4" w:space="0"/>
              <w:right w:val="nil"/>
            </w:tcBorders>
            <w:shd w:val="clear" w:color="auto" w:fill="auto"/>
            <w:vAlign w:val="center"/>
          </w:tcPr>
          <w:p>
            <w:pPr>
              <w:rPr>
                <w:rFonts w:ascii="宋体" w:hAnsi="宋体" w:cs="宋体"/>
                <w:sz w:val="20"/>
                <w:szCs w:val="20"/>
              </w:rPr>
            </w:pPr>
            <w:r>
              <w:rPr>
                <w:rFonts w:hint="eastAsia" w:ascii="宋体" w:hAnsi="宋体"/>
                <w:sz w:val="20"/>
                <w:szCs w:val="20"/>
              </w:rPr>
              <w:t>42</w:t>
            </w:r>
          </w:p>
        </w:tc>
        <w:tc>
          <w:tcPr>
            <w:tcW w:w="2693"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ascii="宋体" w:hAnsi="宋体"/>
                <w:sz w:val="20"/>
                <w:szCs w:val="20"/>
              </w:rPr>
              <w:t>办公用品及设备采购</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r>
      <w:tr>
        <w:tblPrEx>
          <w:tblCellMar>
            <w:top w:w="0" w:type="dxa"/>
            <w:left w:w="108" w:type="dxa"/>
            <w:bottom w:w="0" w:type="dxa"/>
            <w:right w:w="108" w:type="dxa"/>
          </w:tblCellMar>
        </w:tblPrEx>
        <w:trPr>
          <w:trHeight w:val="399" w:hRule="atLeast"/>
        </w:trPr>
        <w:tc>
          <w:tcPr>
            <w:tcW w:w="682"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20"/>
                <w:szCs w:val="20"/>
              </w:rPr>
            </w:pPr>
            <w:r>
              <w:rPr>
                <w:rFonts w:hint="eastAsia" w:ascii="宋体" w:hAnsi="宋体"/>
                <w:sz w:val="20"/>
                <w:szCs w:val="20"/>
              </w:rPr>
              <w:t>303</w:t>
            </w:r>
          </w:p>
        </w:tc>
        <w:tc>
          <w:tcPr>
            <w:tcW w:w="850" w:type="dxa"/>
            <w:tcBorders>
              <w:top w:val="nil"/>
              <w:left w:val="single" w:color="auto" w:sz="4" w:space="0"/>
              <w:bottom w:val="single" w:color="auto" w:sz="4" w:space="0"/>
              <w:right w:val="nil"/>
            </w:tcBorders>
            <w:shd w:val="clear" w:color="auto" w:fill="auto"/>
            <w:vAlign w:val="center"/>
          </w:tcPr>
          <w:p>
            <w:pPr>
              <w:rPr>
                <w:rFonts w:ascii="宋体" w:hAnsi="宋体" w:cs="宋体"/>
                <w:sz w:val="20"/>
                <w:szCs w:val="20"/>
              </w:rPr>
            </w:pPr>
            <w:r>
              <w:rPr>
                <w:rFonts w:hint="eastAsia" w:ascii="宋体" w:hAnsi="宋体"/>
                <w:sz w:val="20"/>
                <w:szCs w:val="20"/>
              </w:rPr>
              <w:t>99</w:t>
            </w:r>
          </w:p>
        </w:tc>
        <w:tc>
          <w:tcPr>
            <w:tcW w:w="2693"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ascii="宋体" w:hAnsi="宋体"/>
                <w:sz w:val="20"/>
                <w:szCs w:val="20"/>
              </w:rPr>
              <w:t>其他对个人和家庭的补助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25.92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25.92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r>
      <w:tr>
        <w:tblPrEx>
          <w:tblCellMar>
            <w:top w:w="0" w:type="dxa"/>
            <w:left w:w="108" w:type="dxa"/>
            <w:bottom w:w="0" w:type="dxa"/>
            <w:right w:w="108" w:type="dxa"/>
          </w:tblCellMar>
        </w:tblPrEx>
        <w:trPr>
          <w:trHeight w:val="420" w:hRule="atLeast"/>
        </w:trPr>
        <w:tc>
          <w:tcPr>
            <w:tcW w:w="682"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20"/>
                <w:szCs w:val="20"/>
              </w:rPr>
            </w:pPr>
            <w:r>
              <w:rPr>
                <w:rFonts w:hint="eastAsia" w:ascii="宋体" w:hAnsi="宋体"/>
                <w:sz w:val="20"/>
                <w:szCs w:val="20"/>
              </w:rPr>
              <w:t>302</w:t>
            </w:r>
          </w:p>
        </w:tc>
        <w:tc>
          <w:tcPr>
            <w:tcW w:w="850" w:type="dxa"/>
            <w:tcBorders>
              <w:top w:val="nil"/>
              <w:left w:val="single" w:color="auto" w:sz="4" w:space="0"/>
              <w:bottom w:val="single" w:color="auto" w:sz="4" w:space="0"/>
              <w:right w:val="nil"/>
            </w:tcBorders>
            <w:shd w:val="clear" w:color="auto" w:fill="auto"/>
            <w:vAlign w:val="center"/>
          </w:tcPr>
          <w:p>
            <w:pPr>
              <w:rPr>
                <w:rFonts w:ascii="宋体" w:hAnsi="宋体" w:cs="宋体"/>
                <w:sz w:val="20"/>
                <w:szCs w:val="20"/>
              </w:rPr>
            </w:pPr>
            <w:r>
              <w:rPr>
                <w:rFonts w:hint="eastAsia" w:ascii="宋体" w:hAnsi="宋体"/>
                <w:sz w:val="20"/>
                <w:szCs w:val="20"/>
              </w:rPr>
              <w:t>01</w:t>
            </w:r>
          </w:p>
        </w:tc>
        <w:tc>
          <w:tcPr>
            <w:tcW w:w="2693"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ascii="宋体" w:hAnsi="宋体"/>
                <w:sz w:val="20"/>
                <w:szCs w:val="20"/>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r>
      <w:tr>
        <w:tblPrEx>
          <w:tblCellMar>
            <w:top w:w="0" w:type="dxa"/>
            <w:left w:w="108" w:type="dxa"/>
            <w:bottom w:w="0" w:type="dxa"/>
            <w:right w:w="108" w:type="dxa"/>
          </w:tblCellMar>
        </w:tblPrEx>
        <w:trPr>
          <w:trHeight w:val="412" w:hRule="atLeast"/>
        </w:trPr>
        <w:tc>
          <w:tcPr>
            <w:tcW w:w="682" w:type="dxa"/>
            <w:tcBorders>
              <w:top w:val="nil"/>
              <w:left w:val="single" w:color="auto" w:sz="4" w:space="0"/>
              <w:bottom w:val="single" w:color="auto" w:sz="4" w:space="0"/>
              <w:right w:val="nil"/>
            </w:tcBorders>
            <w:shd w:val="clear" w:color="auto" w:fill="auto"/>
            <w:vAlign w:val="center"/>
          </w:tcPr>
          <w:p>
            <w:pPr>
              <w:jc w:val="center"/>
              <w:rPr>
                <w:rFonts w:ascii="宋体" w:hAnsi="宋体" w:cs="宋体"/>
                <w:sz w:val="20"/>
                <w:szCs w:val="20"/>
              </w:rPr>
            </w:pPr>
            <w:r>
              <w:rPr>
                <w:rFonts w:hint="eastAsia" w:ascii="宋体" w:hAnsi="宋体"/>
                <w:sz w:val="20"/>
                <w:szCs w:val="20"/>
              </w:rPr>
              <w:t>301</w:t>
            </w:r>
          </w:p>
        </w:tc>
        <w:tc>
          <w:tcPr>
            <w:tcW w:w="850" w:type="dxa"/>
            <w:tcBorders>
              <w:top w:val="nil"/>
              <w:left w:val="single" w:color="auto" w:sz="4" w:space="0"/>
              <w:bottom w:val="single" w:color="auto" w:sz="4" w:space="0"/>
              <w:right w:val="nil"/>
            </w:tcBorders>
            <w:shd w:val="clear" w:color="auto" w:fill="auto"/>
            <w:vAlign w:val="center"/>
          </w:tcPr>
          <w:p>
            <w:pPr>
              <w:rPr>
                <w:rFonts w:ascii="宋体" w:hAnsi="宋体" w:cs="宋体"/>
                <w:sz w:val="20"/>
                <w:szCs w:val="20"/>
              </w:rPr>
            </w:pPr>
            <w:r>
              <w:rPr>
                <w:rFonts w:hint="eastAsia" w:ascii="宋体" w:hAnsi="宋体"/>
                <w:sz w:val="20"/>
                <w:szCs w:val="20"/>
              </w:rPr>
              <w:t>12</w:t>
            </w:r>
          </w:p>
        </w:tc>
        <w:tc>
          <w:tcPr>
            <w:tcW w:w="2693"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ascii="宋体" w:hAnsi="宋体"/>
                <w:sz w:val="20"/>
                <w:szCs w:val="20"/>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74.24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xml:space="preserve">74.24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ascii="宋体" w:hAnsi="宋体"/>
                <w:sz w:val="20"/>
                <w:szCs w:val="20"/>
              </w:rPr>
              <w:t>　</w:t>
            </w:r>
          </w:p>
        </w:tc>
      </w:tr>
      <w:tr>
        <w:tblPrEx>
          <w:tblCellMar>
            <w:top w:w="0" w:type="dxa"/>
            <w:left w:w="108" w:type="dxa"/>
            <w:bottom w:w="0" w:type="dxa"/>
            <w:right w:w="108" w:type="dxa"/>
          </w:tblCellMar>
        </w:tblPrEx>
        <w:trPr>
          <w:trHeight w:val="468" w:hRule="atLeast"/>
        </w:trPr>
        <w:tc>
          <w:tcPr>
            <w:tcW w:w="682" w:type="dxa"/>
            <w:tcBorders>
              <w:top w:val="nil"/>
              <w:left w:val="single" w:color="auto" w:sz="4" w:space="0"/>
              <w:bottom w:val="single" w:color="auto" w:sz="4" w:space="0"/>
              <w:right w:val="nil"/>
            </w:tcBorders>
            <w:shd w:val="clear" w:color="auto" w:fill="auto"/>
            <w:vAlign w:val="center"/>
          </w:tcPr>
          <w:p>
            <w:pPr>
              <w:jc w:val="center"/>
              <w:rPr>
                <w:rFonts w:ascii="宋体" w:hAnsi="宋体"/>
                <w:sz w:val="20"/>
                <w:szCs w:val="20"/>
              </w:rPr>
            </w:pPr>
          </w:p>
        </w:tc>
        <w:tc>
          <w:tcPr>
            <w:tcW w:w="850" w:type="dxa"/>
            <w:tcBorders>
              <w:top w:val="nil"/>
              <w:left w:val="single" w:color="auto" w:sz="4" w:space="0"/>
              <w:bottom w:val="single" w:color="auto" w:sz="4" w:space="0"/>
              <w:right w:val="nil"/>
            </w:tcBorders>
            <w:shd w:val="clear" w:color="auto" w:fill="auto"/>
            <w:vAlign w:val="center"/>
          </w:tcPr>
          <w:p>
            <w:pPr>
              <w:rPr>
                <w:rFonts w:ascii="宋体" w:hAnsi="宋体"/>
                <w:sz w:val="20"/>
                <w:szCs w:val="20"/>
              </w:rPr>
            </w:pPr>
          </w:p>
        </w:tc>
        <w:tc>
          <w:tcPr>
            <w:tcW w:w="2693"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sz w:val="20"/>
                <w:szCs w:val="20"/>
              </w:rPr>
            </w:pPr>
          </w:p>
        </w:tc>
      </w:tr>
      <w:tr>
        <w:tblPrEx>
          <w:tblCellMar>
            <w:top w:w="0" w:type="dxa"/>
            <w:left w:w="108" w:type="dxa"/>
            <w:bottom w:w="0" w:type="dxa"/>
            <w:right w:w="108" w:type="dxa"/>
          </w:tblCellMar>
        </w:tblPrEx>
        <w:trPr>
          <w:trHeight w:val="402" w:hRule="atLeast"/>
        </w:trPr>
        <w:tc>
          <w:tcPr>
            <w:tcW w:w="6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1302.62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1116.08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186.54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10282" w:type="dxa"/>
        <w:tblInd w:w="-360" w:type="dxa"/>
        <w:tblLayout w:type="autofit"/>
        <w:tblCellMar>
          <w:top w:w="0" w:type="dxa"/>
          <w:left w:w="108" w:type="dxa"/>
          <w:bottom w:w="0" w:type="dxa"/>
          <w:right w:w="108" w:type="dxa"/>
        </w:tblCellMar>
      </w:tblPr>
      <w:tblGrid>
        <w:gridCol w:w="14"/>
        <w:gridCol w:w="502"/>
        <w:gridCol w:w="416"/>
        <w:gridCol w:w="416"/>
        <w:gridCol w:w="1507"/>
        <w:gridCol w:w="1441"/>
        <w:gridCol w:w="765"/>
        <w:gridCol w:w="110"/>
        <w:gridCol w:w="459"/>
        <w:gridCol w:w="536"/>
        <w:gridCol w:w="652"/>
        <w:gridCol w:w="652"/>
        <w:gridCol w:w="378"/>
        <w:gridCol w:w="200"/>
        <w:gridCol w:w="419"/>
        <w:gridCol w:w="578"/>
        <w:gridCol w:w="420"/>
        <w:gridCol w:w="420"/>
        <w:gridCol w:w="389"/>
        <w:gridCol w:w="8"/>
      </w:tblGrid>
      <w:tr>
        <w:tblPrEx>
          <w:tblCellMar>
            <w:top w:w="0" w:type="dxa"/>
            <w:left w:w="108" w:type="dxa"/>
            <w:bottom w:w="0" w:type="dxa"/>
            <w:right w:w="108" w:type="dxa"/>
          </w:tblCellMar>
        </w:tblPrEx>
        <w:trPr>
          <w:gridBefore w:val="1"/>
          <w:gridAfter w:val="1"/>
          <w:wBefore w:w="14" w:type="dxa"/>
          <w:wAfter w:w="8" w:type="dxa"/>
          <w:trHeight w:val="573" w:hRule="atLeast"/>
        </w:trPr>
        <w:tc>
          <w:tcPr>
            <w:tcW w:w="10260" w:type="dxa"/>
            <w:gridSpan w:val="1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14" w:type="dxa"/>
          <w:wAfter w:w="8" w:type="dxa"/>
          <w:trHeight w:val="405" w:hRule="atLeast"/>
        </w:trPr>
        <w:tc>
          <w:tcPr>
            <w:tcW w:w="5157" w:type="dxa"/>
            <w:gridSpan w:val="7"/>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编制部门：克州政府办公室</w:t>
            </w:r>
          </w:p>
        </w:tc>
        <w:tc>
          <w:tcPr>
            <w:tcW w:w="995"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48" w:type="dxa"/>
            <w:gridSpan w:val="4"/>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507" w:type="dxa"/>
            <w:vMerge w:val="restart"/>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41" w:type="dxa"/>
            <w:vMerge w:val="restart"/>
            <w:shd w:val="clear" w:color="auto" w:fill="auto"/>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765"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16" w:type="dxa"/>
            <w:gridSpan w:val="2"/>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16"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16"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507"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41"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6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vAlign w:val="center"/>
          </w:tcPr>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201　</w:t>
            </w:r>
          </w:p>
        </w:tc>
        <w:tc>
          <w:tcPr>
            <w:tcW w:w="416" w:type="dxa"/>
            <w:shd w:val="clear" w:color="auto" w:fill="auto"/>
            <w:vAlign w:val="center"/>
          </w:tcPr>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03　</w:t>
            </w:r>
          </w:p>
        </w:tc>
        <w:tc>
          <w:tcPr>
            <w:tcW w:w="416" w:type="dxa"/>
            <w:shd w:val="clear" w:color="auto" w:fill="auto"/>
            <w:vAlign w:val="center"/>
          </w:tcPr>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99　</w:t>
            </w:r>
          </w:p>
        </w:tc>
        <w:tc>
          <w:tcPr>
            <w:tcW w:w="150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cs="宋体"/>
                <w:b/>
                <w:color w:val="000000"/>
                <w:kern w:val="0"/>
                <w:sz w:val="20"/>
                <w:szCs w:val="20"/>
              </w:rPr>
              <w:t>其他办公厅（室）及相关机构事务支出　</w:t>
            </w:r>
          </w:p>
        </w:tc>
        <w:tc>
          <w:tcPr>
            <w:tcW w:w="1441"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群众工作经费　</w:t>
            </w:r>
          </w:p>
        </w:tc>
        <w:tc>
          <w:tcPr>
            <w:tcW w:w="765" w:type="dxa"/>
            <w:shd w:val="clear" w:color="auto" w:fill="auto"/>
            <w:vAlign w:val="center"/>
          </w:tcPr>
          <w:p>
            <w:pPr>
              <w:widowControl/>
              <w:jc w:val="center"/>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7</w:t>
            </w:r>
          </w:p>
        </w:tc>
        <w:tc>
          <w:tcPr>
            <w:tcW w:w="569" w:type="dxa"/>
            <w:gridSpan w:val="2"/>
            <w:shd w:val="clear" w:color="auto" w:fill="auto"/>
            <w:vAlign w:val="center"/>
          </w:tcPr>
          <w:p>
            <w:pPr>
              <w:widowControl/>
              <w:jc w:val="center"/>
              <w:outlineLvl w:val="1"/>
              <w:rPr>
                <w:rFonts w:ascii="仿宋_GB2312" w:hAnsi="宋体" w:eastAsia="仿宋_GB2312" w:cs="宋体"/>
                <w:b/>
                <w:color w:val="000000"/>
                <w:kern w:val="0"/>
                <w:sz w:val="20"/>
                <w:szCs w:val="20"/>
              </w:rPr>
            </w:pPr>
          </w:p>
        </w:tc>
        <w:tc>
          <w:tcPr>
            <w:tcW w:w="536" w:type="dxa"/>
            <w:shd w:val="clear" w:color="auto" w:fill="auto"/>
            <w:vAlign w:val="center"/>
          </w:tcPr>
          <w:p>
            <w:pPr>
              <w:widowControl/>
              <w:jc w:val="center"/>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7</w:t>
            </w:r>
          </w:p>
        </w:tc>
        <w:tc>
          <w:tcPr>
            <w:tcW w:w="652"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652"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578" w:type="dxa"/>
            <w:gridSpan w:val="2"/>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419"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578"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420"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420"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397" w:type="dxa"/>
            <w:gridSpan w:val="2"/>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vAlign w:val="center"/>
          </w:tcPr>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201　</w:t>
            </w:r>
          </w:p>
        </w:tc>
        <w:tc>
          <w:tcPr>
            <w:tcW w:w="416" w:type="dxa"/>
            <w:shd w:val="clear" w:color="auto" w:fill="auto"/>
            <w:vAlign w:val="center"/>
          </w:tcPr>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03　</w:t>
            </w:r>
          </w:p>
        </w:tc>
        <w:tc>
          <w:tcPr>
            <w:tcW w:w="416" w:type="dxa"/>
            <w:shd w:val="clear" w:color="auto" w:fill="auto"/>
            <w:vAlign w:val="center"/>
          </w:tcPr>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99　</w:t>
            </w:r>
          </w:p>
        </w:tc>
        <w:tc>
          <w:tcPr>
            <w:tcW w:w="150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cs="宋体"/>
                <w:b/>
                <w:color w:val="000000"/>
                <w:kern w:val="0"/>
                <w:sz w:val="20"/>
                <w:szCs w:val="20"/>
              </w:rPr>
              <w:t>其他办公厅（室）及相关机构事务支出　</w:t>
            </w:r>
          </w:p>
        </w:tc>
        <w:tc>
          <w:tcPr>
            <w:tcW w:w="1441"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为民办事经费　　</w:t>
            </w:r>
          </w:p>
        </w:tc>
        <w:tc>
          <w:tcPr>
            <w:tcW w:w="765" w:type="dxa"/>
            <w:shd w:val="clear" w:color="auto" w:fill="auto"/>
            <w:vAlign w:val="center"/>
          </w:tcPr>
          <w:p>
            <w:pPr>
              <w:widowControl/>
              <w:jc w:val="center"/>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17</w:t>
            </w:r>
          </w:p>
        </w:tc>
        <w:tc>
          <w:tcPr>
            <w:tcW w:w="569" w:type="dxa"/>
            <w:gridSpan w:val="2"/>
            <w:shd w:val="clear" w:color="auto" w:fill="auto"/>
            <w:vAlign w:val="center"/>
          </w:tcPr>
          <w:p>
            <w:pPr>
              <w:widowControl/>
              <w:jc w:val="center"/>
              <w:outlineLvl w:val="1"/>
              <w:rPr>
                <w:rFonts w:ascii="仿宋_GB2312" w:hAnsi="宋体" w:eastAsia="仿宋_GB2312" w:cs="宋体"/>
                <w:b/>
                <w:color w:val="000000"/>
                <w:kern w:val="0"/>
                <w:sz w:val="20"/>
                <w:szCs w:val="20"/>
              </w:rPr>
            </w:pPr>
          </w:p>
        </w:tc>
        <w:tc>
          <w:tcPr>
            <w:tcW w:w="536" w:type="dxa"/>
            <w:shd w:val="clear" w:color="auto" w:fill="auto"/>
            <w:vAlign w:val="center"/>
          </w:tcPr>
          <w:p>
            <w:pPr>
              <w:widowControl/>
              <w:jc w:val="center"/>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17</w:t>
            </w:r>
          </w:p>
        </w:tc>
        <w:tc>
          <w:tcPr>
            <w:tcW w:w="652"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652"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578" w:type="dxa"/>
            <w:gridSpan w:val="2"/>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419"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578"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420"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420"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397" w:type="dxa"/>
            <w:gridSpan w:val="2"/>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vAlign w:val="center"/>
          </w:tcPr>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201　</w:t>
            </w:r>
          </w:p>
        </w:tc>
        <w:tc>
          <w:tcPr>
            <w:tcW w:w="416" w:type="dxa"/>
            <w:shd w:val="clear" w:color="auto" w:fill="auto"/>
            <w:vAlign w:val="center"/>
          </w:tcPr>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03　</w:t>
            </w:r>
          </w:p>
        </w:tc>
        <w:tc>
          <w:tcPr>
            <w:tcW w:w="416" w:type="dxa"/>
            <w:shd w:val="clear" w:color="auto" w:fill="auto"/>
            <w:vAlign w:val="center"/>
          </w:tcPr>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99　</w:t>
            </w:r>
          </w:p>
        </w:tc>
        <w:tc>
          <w:tcPr>
            <w:tcW w:w="150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cs="宋体"/>
                <w:b/>
                <w:color w:val="000000"/>
                <w:kern w:val="0"/>
                <w:sz w:val="20"/>
                <w:szCs w:val="20"/>
              </w:rPr>
              <w:t>其他办公厅（室）及相关机构事务支出　</w:t>
            </w:r>
          </w:p>
        </w:tc>
        <w:tc>
          <w:tcPr>
            <w:tcW w:w="1441"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公务接待费</w:t>
            </w:r>
          </w:p>
        </w:tc>
        <w:tc>
          <w:tcPr>
            <w:tcW w:w="765" w:type="dxa"/>
            <w:shd w:val="clear" w:color="auto" w:fill="auto"/>
            <w:vAlign w:val="center"/>
          </w:tcPr>
          <w:p>
            <w:pPr>
              <w:widowControl/>
              <w:jc w:val="center"/>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40</w:t>
            </w:r>
          </w:p>
        </w:tc>
        <w:tc>
          <w:tcPr>
            <w:tcW w:w="569" w:type="dxa"/>
            <w:gridSpan w:val="2"/>
            <w:shd w:val="clear" w:color="auto" w:fill="auto"/>
            <w:vAlign w:val="center"/>
          </w:tcPr>
          <w:p>
            <w:pPr>
              <w:widowControl/>
              <w:jc w:val="center"/>
              <w:outlineLvl w:val="1"/>
              <w:rPr>
                <w:rFonts w:ascii="仿宋_GB2312" w:hAnsi="宋体" w:eastAsia="仿宋_GB2312" w:cs="宋体"/>
                <w:b/>
                <w:color w:val="000000"/>
                <w:kern w:val="0"/>
                <w:sz w:val="20"/>
                <w:szCs w:val="20"/>
              </w:rPr>
            </w:pPr>
          </w:p>
        </w:tc>
        <w:tc>
          <w:tcPr>
            <w:tcW w:w="536" w:type="dxa"/>
            <w:shd w:val="clear" w:color="auto" w:fill="auto"/>
            <w:vAlign w:val="center"/>
          </w:tcPr>
          <w:p>
            <w:pPr>
              <w:widowControl/>
              <w:jc w:val="center"/>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40</w:t>
            </w:r>
          </w:p>
        </w:tc>
        <w:tc>
          <w:tcPr>
            <w:tcW w:w="652"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652"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578" w:type="dxa"/>
            <w:gridSpan w:val="2"/>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419"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578"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420"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420"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397" w:type="dxa"/>
            <w:gridSpan w:val="2"/>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vAlign w:val="center"/>
          </w:tcPr>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201　</w:t>
            </w:r>
          </w:p>
        </w:tc>
        <w:tc>
          <w:tcPr>
            <w:tcW w:w="416" w:type="dxa"/>
            <w:shd w:val="clear" w:color="auto" w:fill="auto"/>
            <w:vAlign w:val="center"/>
          </w:tcPr>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03　</w:t>
            </w:r>
          </w:p>
        </w:tc>
        <w:tc>
          <w:tcPr>
            <w:tcW w:w="416" w:type="dxa"/>
            <w:shd w:val="clear" w:color="auto" w:fill="auto"/>
            <w:vAlign w:val="center"/>
          </w:tcPr>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99　</w:t>
            </w:r>
          </w:p>
        </w:tc>
        <w:tc>
          <w:tcPr>
            <w:tcW w:w="150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cs="宋体"/>
                <w:b/>
                <w:color w:val="000000"/>
                <w:kern w:val="0"/>
                <w:sz w:val="20"/>
                <w:szCs w:val="20"/>
              </w:rPr>
              <w:t>其他办公厅（室）及相关机构事务支出　</w:t>
            </w:r>
          </w:p>
        </w:tc>
        <w:tc>
          <w:tcPr>
            <w:tcW w:w="1441"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业务活动经费</w:t>
            </w:r>
          </w:p>
        </w:tc>
        <w:tc>
          <w:tcPr>
            <w:tcW w:w="765" w:type="dxa"/>
            <w:shd w:val="clear" w:color="auto" w:fill="auto"/>
            <w:vAlign w:val="center"/>
          </w:tcPr>
          <w:p>
            <w:pPr>
              <w:widowControl/>
              <w:jc w:val="center"/>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50</w:t>
            </w:r>
          </w:p>
        </w:tc>
        <w:tc>
          <w:tcPr>
            <w:tcW w:w="569" w:type="dxa"/>
            <w:gridSpan w:val="2"/>
            <w:shd w:val="clear" w:color="auto" w:fill="auto"/>
            <w:vAlign w:val="center"/>
          </w:tcPr>
          <w:p>
            <w:pPr>
              <w:widowControl/>
              <w:jc w:val="center"/>
              <w:outlineLvl w:val="1"/>
              <w:rPr>
                <w:rFonts w:ascii="仿宋_GB2312" w:hAnsi="宋体" w:eastAsia="仿宋_GB2312" w:cs="宋体"/>
                <w:b/>
                <w:color w:val="000000"/>
                <w:kern w:val="0"/>
                <w:sz w:val="20"/>
                <w:szCs w:val="20"/>
              </w:rPr>
            </w:pPr>
          </w:p>
        </w:tc>
        <w:tc>
          <w:tcPr>
            <w:tcW w:w="536" w:type="dxa"/>
            <w:shd w:val="clear" w:color="auto" w:fill="auto"/>
            <w:vAlign w:val="center"/>
          </w:tcPr>
          <w:p>
            <w:pPr>
              <w:widowControl/>
              <w:jc w:val="center"/>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50</w:t>
            </w:r>
          </w:p>
        </w:tc>
        <w:tc>
          <w:tcPr>
            <w:tcW w:w="652"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652"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578" w:type="dxa"/>
            <w:gridSpan w:val="2"/>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419"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578"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420"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420"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397" w:type="dxa"/>
            <w:gridSpan w:val="2"/>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vAlign w:val="center"/>
          </w:tcPr>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201　</w:t>
            </w:r>
          </w:p>
        </w:tc>
        <w:tc>
          <w:tcPr>
            <w:tcW w:w="416" w:type="dxa"/>
            <w:shd w:val="clear" w:color="auto" w:fill="auto"/>
            <w:vAlign w:val="center"/>
          </w:tcPr>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03　</w:t>
            </w:r>
          </w:p>
        </w:tc>
        <w:tc>
          <w:tcPr>
            <w:tcW w:w="416" w:type="dxa"/>
            <w:shd w:val="clear" w:color="auto" w:fill="auto"/>
            <w:vAlign w:val="center"/>
          </w:tcPr>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99　</w:t>
            </w:r>
          </w:p>
        </w:tc>
        <w:tc>
          <w:tcPr>
            <w:tcW w:w="150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cs="宋体"/>
                <w:b/>
                <w:color w:val="000000"/>
                <w:kern w:val="0"/>
                <w:sz w:val="20"/>
                <w:szCs w:val="20"/>
              </w:rPr>
              <w:t>其他办公厅（室）及相关机构事务支出　</w:t>
            </w:r>
          </w:p>
        </w:tc>
        <w:tc>
          <w:tcPr>
            <w:tcW w:w="1441"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机场设施租用费</w:t>
            </w:r>
          </w:p>
        </w:tc>
        <w:tc>
          <w:tcPr>
            <w:tcW w:w="765" w:type="dxa"/>
            <w:shd w:val="clear" w:color="auto" w:fill="auto"/>
            <w:vAlign w:val="center"/>
          </w:tcPr>
          <w:p>
            <w:pPr>
              <w:widowControl/>
              <w:jc w:val="center"/>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60</w:t>
            </w:r>
          </w:p>
        </w:tc>
        <w:tc>
          <w:tcPr>
            <w:tcW w:w="569" w:type="dxa"/>
            <w:gridSpan w:val="2"/>
            <w:shd w:val="clear" w:color="auto" w:fill="auto"/>
            <w:vAlign w:val="center"/>
          </w:tcPr>
          <w:p>
            <w:pPr>
              <w:widowControl/>
              <w:jc w:val="center"/>
              <w:outlineLvl w:val="1"/>
              <w:rPr>
                <w:rFonts w:ascii="仿宋_GB2312" w:hAnsi="宋体" w:eastAsia="仿宋_GB2312" w:cs="宋体"/>
                <w:b/>
                <w:color w:val="000000"/>
                <w:kern w:val="0"/>
                <w:sz w:val="20"/>
                <w:szCs w:val="20"/>
              </w:rPr>
            </w:pPr>
          </w:p>
        </w:tc>
        <w:tc>
          <w:tcPr>
            <w:tcW w:w="536" w:type="dxa"/>
            <w:shd w:val="clear" w:color="auto" w:fill="auto"/>
            <w:vAlign w:val="center"/>
          </w:tcPr>
          <w:p>
            <w:pPr>
              <w:widowControl/>
              <w:jc w:val="center"/>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60</w:t>
            </w:r>
          </w:p>
        </w:tc>
        <w:tc>
          <w:tcPr>
            <w:tcW w:w="652"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652"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578" w:type="dxa"/>
            <w:gridSpan w:val="2"/>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419"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578"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420"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420" w:type="dxa"/>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397" w:type="dxa"/>
            <w:gridSpan w:val="2"/>
            <w:shd w:val="clear" w:color="auto" w:fill="auto"/>
            <w:vAlign w:val="center"/>
          </w:tcPr>
          <w:p>
            <w:pPr>
              <w:widowControl/>
              <w:outlineLvl w:val="1"/>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0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4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0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4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0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4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0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4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0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4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0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4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p>
        </w:tc>
        <w:tc>
          <w:tcPr>
            <w:tcW w:w="416" w:type="dxa"/>
            <w:shd w:val="clear" w:color="auto" w:fill="auto"/>
          </w:tcPr>
          <w:p>
            <w:pPr>
              <w:widowControl/>
              <w:jc w:val="left"/>
              <w:outlineLvl w:val="1"/>
              <w:rPr>
                <w:rFonts w:ascii="仿宋_GB2312" w:hAnsi="宋体" w:eastAsia="仿宋_GB2312"/>
                <w:kern w:val="0"/>
                <w:sz w:val="32"/>
                <w:szCs w:val="32"/>
              </w:rPr>
            </w:pPr>
          </w:p>
        </w:tc>
        <w:tc>
          <w:tcPr>
            <w:tcW w:w="416" w:type="dxa"/>
            <w:shd w:val="clear" w:color="auto" w:fill="auto"/>
          </w:tcPr>
          <w:p>
            <w:pPr>
              <w:widowControl/>
              <w:jc w:val="left"/>
              <w:outlineLvl w:val="1"/>
              <w:rPr>
                <w:rFonts w:ascii="仿宋_GB2312" w:hAnsi="宋体" w:eastAsia="仿宋_GB2312"/>
                <w:kern w:val="0"/>
                <w:sz w:val="32"/>
                <w:szCs w:val="32"/>
              </w:rPr>
            </w:pPr>
          </w:p>
        </w:tc>
        <w:tc>
          <w:tcPr>
            <w:tcW w:w="1507" w:type="dxa"/>
            <w:shd w:val="clear" w:color="auto" w:fill="auto"/>
          </w:tcPr>
          <w:p>
            <w:pPr>
              <w:widowControl/>
              <w:jc w:val="left"/>
              <w:outlineLvl w:val="1"/>
              <w:rPr>
                <w:rFonts w:ascii="仿宋_GB2312" w:hAnsi="宋体" w:eastAsia="仿宋_GB2312"/>
                <w:kern w:val="0"/>
                <w:sz w:val="32"/>
                <w:szCs w:val="32"/>
              </w:rPr>
            </w:pPr>
          </w:p>
        </w:tc>
        <w:tc>
          <w:tcPr>
            <w:tcW w:w="1441" w:type="dxa"/>
            <w:shd w:val="clear" w:color="auto" w:fill="auto"/>
          </w:tcPr>
          <w:p>
            <w:pPr>
              <w:widowControl/>
              <w:jc w:val="left"/>
              <w:outlineLvl w:val="1"/>
              <w:rPr>
                <w:rFonts w:ascii="仿宋_GB2312" w:hAnsi="宋体" w:eastAsia="仿宋_GB2312"/>
                <w:kern w:val="0"/>
                <w:sz w:val="32"/>
                <w:szCs w:val="32"/>
              </w:rPr>
            </w:pPr>
          </w:p>
        </w:tc>
        <w:tc>
          <w:tcPr>
            <w:tcW w:w="765" w:type="dxa"/>
            <w:shd w:val="clear" w:color="auto" w:fill="auto"/>
          </w:tcPr>
          <w:p>
            <w:pPr>
              <w:widowControl/>
              <w:jc w:val="left"/>
              <w:outlineLvl w:val="1"/>
              <w:rPr>
                <w:rFonts w:ascii="仿宋_GB2312" w:hAnsi="宋体" w:eastAsia="仿宋_GB2312"/>
                <w:kern w:val="0"/>
                <w:sz w:val="32"/>
                <w:szCs w:val="32"/>
              </w:rPr>
            </w:pPr>
          </w:p>
        </w:tc>
        <w:tc>
          <w:tcPr>
            <w:tcW w:w="569" w:type="dxa"/>
            <w:gridSpan w:val="2"/>
            <w:shd w:val="clear" w:color="auto" w:fill="auto"/>
          </w:tcPr>
          <w:p>
            <w:pPr>
              <w:widowControl/>
              <w:jc w:val="left"/>
              <w:outlineLvl w:val="1"/>
              <w:rPr>
                <w:rFonts w:ascii="仿宋_GB2312" w:hAnsi="宋体" w:eastAsia="仿宋_GB2312"/>
                <w:kern w:val="0"/>
                <w:sz w:val="32"/>
                <w:szCs w:val="32"/>
              </w:rPr>
            </w:pPr>
          </w:p>
        </w:tc>
        <w:tc>
          <w:tcPr>
            <w:tcW w:w="536"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397"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50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41"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65" w:type="dxa"/>
            <w:shd w:val="clear" w:color="auto" w:fill="auto"/>
            <w:vAlign w:val="center"/>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174</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vAlign w:val="center"/>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174</w:t>
            </w:r>
          </w:p>
        </w:tc>
        <w:tc>
          <w:tcPr>
            <w:tcW w:w="652" w:type="dxa"/>
            <w:shd w:val="clear" w:color="auto" w:fill="auto"/>
            <w:vAlign w:val="center"/>
          </w:tcPr>
          <w:p>
            <w:pPr>
              <w:widowControl/>
              <w:jc w:val="center"/>
              <w:outlineLvl w:val="1"/>
              <w:rPr>
                <w:rFonts w:ascii="仿宋_GB2312" w:hAnsi="宋体" w:eastAsia="仿宋_GB2312"/>
                <w:kern w:val="0"/>
                <w:szCs w:val="21"/>
              </w:rPr>
            </w:pP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 克州政府办公室                                      单位：万元</w:t>
      </w:r>
    </w:p>
    <w:tbl>
      <w:tblPr>
        <w:tblStyle w:val="7"/>
        <w:tblW w:w="9240" w:type="dxa"/>
        <w:tblInd w:w="-173" w:type="dxa"/>
        <w:tblLayout w:type="autofit"/>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133.6</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93.6</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93.6</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40</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 克州政府办公室                                   单位：万元</w:t>
      </w:r>
    </w:p>
    <w:tbl>
      <w:tblPr>
        <w:tblStyle w:val="7"/>
        <w:tblW w:w="9214" w:type="dxa"/>
        <w:tblInd w:w="-34" w:type="dxa"/>
        <w:tblLayout w:type="autofit"/>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备注：无内容应公开空表并说明情况。（克州政府办公室为行政单位，无政府性基金预算支出）</w:t>
      </w:r>
    </w:p>
    <w:p>
      <w:pPr>
        <w:widowControl/>
        <w:jc w:val="left"/>
        <w:outlineLvl w:val="1"/>
        <w:rPr>
          <w:rFonts w:ascii="仿宋_GB2312" w:hAnsi="宋体" w:eastAsia="仿宋_GB2312"/>
          <w:color w:val="000000" w:themeColor="text1"/>
          <w:kern w:val="0"/>
          <w:sz w:val="32"/>
          <w:szCs w:val="32"/>
          <w:highlight w:val="red"/>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关于克州政府办公室2020年收支预算情况的总体说明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按照全口径预算的原则，克州政府办公室2020年所有收入和支出均纳入部门预算管理。收支总预算1483.22万元。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收入预算包括：一般公共预算1459.62万元、 政府性基金预算0万元、教育收费（财政专户）0万元、事业收入0万元、事业单位经营收入0万元、其他收入0万元、用事业基金弥补收支差额0万元、上级专项收入17万元、单位上年结余（不包括国库集中支付额度结余）6.6万元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1476.62万元、外交支出0万元、国防支出0万元、公共安全支出0万元、教育支出0万元、科学技术支出0万元、文化旅游体育与传媒支出0万元、社会保障和就业支出0万元、医疗卫生健康支出0万元、节能环保支出0万元、城乡社区支出0万元、农林水支出0万元、交通运输支出0万元、资源勘探工业信息等支出0万元、商业服务业等支出0万元、金融支出0万元、援助其他地区支出0万元、自然资源海洋气象等支出0万元、住房保障支出0万元、粮油物资储备支出0万元、灾害防治及应急管理支出0万元、预备费0万元、其他支出0万元、转移性支出0万元、债务还本支出0万元、债务付息支出0万元、债务发行费用支出0万元等。</w:t>
      </w: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二、关于克州政府办公室2020年收入预算情况说明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克州政府办公室收入预算1483.22万元，其中：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一般公共预算1459.62 万元，占98.41%，比上年增加（减少）102.16万元，主要原因是人员工资增加；（从涉改部门克州电子政务办公室调入9人，克州法制办调入1人。）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财政专户管理资金0万元，占0%，比上年增加（减少）   0万元，主要原因是无；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事业收入0万元，占0 %，比上年增加（减少）0万元，主要原因是无；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事业单位经营收入0万元，占0%，比上年增加（减少）   0万元，主要原因是无；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其他收入0万元，占0%，比上年增加（减少）0万元，主要原因是 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用事业基金弥补收支差额0 万元，占0 %，比上年增加（减少）0万元，主要原因是无。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上级专项收入17万元，占1.15%，比上年增加17万元，主要原是根据财政资金绩效管理要求自治区专项为民办事经费纳入年初预算。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单位上年结余（不包括国库集中支付额度结余）6.6万元，占0.44%，比上年减少37.6万元，主要原因是2019年已支付自治州应急指挥平台建设项目尾款等。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三、关于克州政府办公室单位2020年支出预算情况说明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克州政府办公室2020年支出预算1476.62万元，其中：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基本支出1302.62万元，占88.2%，比上年增加65.28   万元，主要原因是人员工资增多。</w:t>
      </w:r>
      <w:bookmarkStart w:id="0" w:name="_GoBack"/>
      <w:bookmarkEnd w:id="0"/>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项目支出174万元，占11.78%，比上年减少13.92万元，主要原因是： 1、2020年预算中群众公共工作人员补助纳入基本支出类核算；2、2020年预算中减少打击走私</w:t>
      </w:r>
      <w:r>
        <w:rPr>
          <w:rFonts w:hint="eastAsia" w:ascii="仿宋_GB2312" w:hAnsi="宋体" w:eastAsia="仿宋_GB2312" w:cs="宋体"/>
          <w:kern w:val="0"/>
          <w:sz w:val="32"/>
          <w:szCs w:val="32"/>
          <w:lang w:val="en-US" w:eastAsia="zh-CN"/>
        </w:rPr>
        <w:t>专项</w:t>
      </w:r>
      <w:r>
        <w:rPr>
          <w:rFonts w:hint="eastAsia" w:ascii="仿宋_GB2312" w:hAnsi="宋体" w:eastAsia="仿宋_GB2312" w:cs="宋体"/>
          <w:kern w:val="0"/>
          <w:sz w:val="32"/>
          <w:szCs w:val="32"/>
        </w:rPr>
        <w:t>经费5万元；3、根据财政资金绩效管理要求自治区专项为民办事经费纳入年初预算。</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四、关于克州政府办公室2020年财政拨款收支预算情况的总体说明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2020年财政拨款收支总预算1459.62万元。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五、关于克州政府办公室2020年一般公共预算当年拨款情况说明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克州政府办公室2020年一般公共预算拨款基本支出    1459.62万元，比上年执行数减少389.3万元，下降21.06 %。主要原因是：1、2019年执行数包括原法制办1-4月人员工资及2018年绩效奖励；2、2019年执行数包括根据临时性工作需要拨付的业务经费。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1.一般公共服务（类）</w:t>
      </w:r>
      <w:r>
        <w:rPr>
          <w:rFonts w:hint="eastAsia" w:ascii="楷体_GB2312" w:eastAsia="楷体_GB2312"/>
          <w:b/>
          <w:sz w:val="32"/>
          <w:szCs w:val="32"/>
        </w:rPr>
        <w:t>1459.62</w:t>
      </w:r>
      <w:r>
        <w:rPr>
          <w:rFonts w:hint="eastAsia" w:ascii="仿宋_GB2312" w:hAnsi="宋体" w:eastAsia="仿宋_GB2312" w:cs="宋体"/>
          <w:kern w:val="0"/>
          <w:sz w:val="32"/>
          <w:szCs w:val="32"/>
        </w:rPr>
        <w:t>万元，占100%。</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 w:hAnsi="仿宋" w:eastAsia="仿宋" w:cs="宋体"/>
          <w:color w:val="000000"/>
          <w:kern w:val="0"/>
          <w:sz w:val="22"/>
          <w:szCs w:val="22"/>
        </w:rPr>
      </w:pPr>
      <w:r>
        <w:rPr>
          <w:rFonts w:hint="eastAsia" w:ascii="仿宋" w:hAnsi="仿宋" w:eastAsia="仿宋" w:cs="宋体"/>
          <w:kern w:val="0"/>
          <w:sz w:val="32"/>
          <w:szCs w:val="32"/>
        </w:rPr>
        <w:t>1.</w:t>
      </w:r>
      <w:r>
        <w:rPr>
          <w:rFonts w:ascii="仿宋" w:hAnsi="仿宋" w:eastAsia="仿宋" w:cs="宋体"/>
          <w:kern w:val="0"/>
          <w:sz w:val="32"/>
          <w:szCs w:val="32"/>
        </w:rPr>
        <w:t>一般公共服务财政事务行政运行</w:t>
      </w:r>
      <w:r>
        <w:rPr>
          <w:rFonts w:hint="eastAsia" w:ascii="仿宋" w:hAnsi="仿宋" w:eastAsia="仿宋" w:cs="宋体"/>
          <w:kern w:val="0"/>
          <w:sz w:val="32"/>
          <w:szCs w:val="32"/>
        </w:rPr>
        <w:t>2010301：2020年</w:t>
      </w:r>
      <w:r>
        <w:rPr>
          <w:rFonts w:ascii="仿宋" w:hAnsi="仿宋" w:eastAsia="仿宋" w:cs="宋体"/>
          <w:kern w:val="0"/>
          <w:sz w:val="32"/>
          <w:szCs w:val="32"/>
        </w:rPr>
        <w:t>预算数为</w:t>
      </w:r>
      <w:r>
        <w:rPr>
          <w:rFonts w:hint="eastAsia" w:ascii="仿宋" w:hAnsi="仿宋" w:eastAsia="仿宋" w:cs="宋体"/>
          <w:kern w:val="0"/>
          <w:sz w:val="32"/>
          <w:szCs w:val="32"/>
        </w:rPr>
        <w:t>1352.62</w:t>
      </w:r>
      <w:r>
        <w:rPr>
          <w:rFonts w:ascii="仿宋" w:hAnsi="仿宋" w:eastAsia="仿宋" w:cs="宋体"/>
          <w:kern w:val="0"/>
          <w:sz w:val="32"/>
          <w:szCs w:val="32"/>
        </w:rPr>
        <w:t>万元，</w:t>
      </w:r>
      <w:r>
        <w:rPr>
          <w:rFonts w:hint="eastAsia" w:ascii="仿宋" w:hAnsi="仿宋" w:eastAsia="仿宋" w:cs="宋体"/>
          <w:kern w:val="0"/>
          <w:sz w:val="32"/>
          <w:szCs w:val="32"/>
        </w:rPr>
        <w:t xml:space="preserve">比上年执行数减少193.65万元，下降12.52%，主要原因是：2019年执行数包括根据临时性工作需要拨付的业务经费。     </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w:t>
      </w:r>
      <w:r>
        <w:rPr>
          <w:rFonts w:hint="eastAsia" w:ascii="仿宋" w:hAnsi="仿宋" w:eastAsia="仿宋" w:cs="宋体"/>
          <w:b/>
          <w:color w:val="000000"/>
          <w:kern w:val="0"/>
          <w:sz w:val="20"/>
          <w:szCs w:val="20"/>
        </w:rPr>
        <w:t xml:space="preserve"> </w:t>
      </w:r>
      <w:r>
        <w:rPr>
          <w:rFonts w:hint="eastAsia" w:ascii="仿宋" w:hAnsi="仿宋" w:eastAsia="仿宋" w:cs="宋体"/>
          <w:kern w:val="0"/>
          <w:sz w:val="32"/>
          <w:szCs w:val="32"/>
        </w:rPr>
        <w:t>其他办公厅（室）及相关机构事务支出2010399：2020年</w:t>
      </w:r>
      <w:r>
        <w:rPr>
          <w:rFonts w:ascii="仿宋" w:hAnsi="仿宋" w:eastAsia="仿宋" w:cs="宋体"/>
          <w:kern w:val="0"/>
          <w:sz w:val="32"/>
          <w:szCs w:val="32"/>
        </w:rPr>
        <w:t>预算数为</w:t>
      </w:r>
      <w:r>
        <w:rPr>
          <w:rFonts w:hint="eastAsia" w:ascii="仿宋" w:hAnsi="仿宋" w:eastAsia="仿宋" w:cs="宋体"/>
          <w:kern w:val="0"/>
          <w:sz w:val="32"/>
          <w:szCs w:val="32"/>
        </w:rPr>
        <w:t>157</w:t>
      </w:r>
      <w:r>
        <w:rPr>
          <w:rFonts w:ascii="仿宋" w:hAnsi="仿宋" w:eastAsia="仿宋" w:cs="宋体"/>
          <w:kern w:val="0"/>
          <w:sz w:val="32"/>
          <w:szCs w:val="32"/>
        </w:rPr>
        <w:t>万元，</w:t>
      </w:r>
      <w:r>
        <w:rPr>
          <w:rFonts w:hint="eastAsia" w:ascii="仿宋" w:hAnsi="仿宋" w:eastAsia="仿宋" w:cs="宋体"/>
          <w:kern w:val="0"/>
          <w:sz w:val="32"/>
          <w:szCs w:val="32"/>
        </w:rPr>
        <w:t>比上年执行数减少10.68万元，下降6.37%，主要原因是：1、2020年群众工作人员补助在2010301反应；2、2020年预算中追减打击走私工作经费。</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六、关于克州政府办公室2020年一般公共预算基本支出情况说明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克州政府办公室2020年一般公共预算基本支出1302.62      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1116.08万元，主要包括：基本工资331.92万元、津贴补贴414.43万元、奖金27.66万元、伙食补助费0万元、绩效工资0万元、机关事业单位基本养老保险缴费108.49万元、职业年金缴费0万元、职工基本医疗保险缴费0万元、公务员医疗补助缴费0万元、其他社会保障缴费74.24万元、住房公积金78.2万元、医疗费0万元、其他工资福利支出0万元、离休费0万元、退休费0万元、退职（役）费0万元、抚恤金0万元、生活补助20.61万元、救济费0万元、医疗费补助0万元、助学金0万元、奖励金0万元、个人农业生产补贴0万元、其他对个人和家庭的补助25.92万元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186.54万元，主要包括：办公费10万元、印刷费0万元、咨询费0万元、手续费0万元、水费0万元、电费0万元、邮电费10万元、取暖费0万元、物业管理费0万元、差旅费59.84万元、因公出国（境）费0万元、维修（护）费0万元、租赁费0万元、会议费0万元、培训费0万元、公务接待费0万元、专用材料费0万元、被装购置费0万元、专用燃料费0万元、劳务费0万元、委托业务费0万元、工会经费4.68万元、福利费8.42万元、公务用车运行维护费93.6万元、其他交通费用0万元、税金及附加费用0万元、其他商品和服务支出0万元、办公设备购置0万元、专用设备购置0万元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七、关于克州政府办公室2020年项目支出情况说明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widowControl/>
        <w:spacing w:line="580" w:lineRule="exact"/>
        <w:ind w:firstLine="640"/>
        <w:jc w:val="left"/>
        <w:rPr>
          <w:rFonts w:ascii="仿宋_GB2312" w:hAnsi="黑体" w:eastAsia="仿宋_GB2312"/>
          <w:sz w:val="32"/>
          <w:szCs w:val="32"/>
        </w:rPr>
      </w:pPr>
      <w:r>
        <w:rPr>
          <w:rFonts w:hint="eastAsia" w:ascii="仿宋_GB2312" w:hAnsi="黑体" w:eastAsia="仿宋_GB2312" w:cs="仿宋_GB2312"/>
          <w:sz w:val="32"/>
          <w:szCs w:val="32"/>
        </w:rPr>
        <w:t>1、项目名称：</w:t>
      </w:r>
      <w:r>
        <w:rPr>
          <w:rFonts w:hint="eastAsia" w:ascii="仿宋_GB2312" w:hAnsi="宋体" w:eastAsia="仿宋_GB2312" w:cs="仿宋_GB2312"/>
          <w:kern w:val="0"/>
          <w:sz w:val="32"/>
          <w:szCs w:val="32"/>
        </w:rPr>
        <w:t>机场设施租用费</w:t>
      </w:r>
    </w:p>
    <w:p>
      <w:pPr>
        <w:widowControl/>
        <w:spacing w:line="580" w:lineRule="exact"/>
        <w:ind w:firstLine="640"/>
        <w:jc w:val="left"/>
        <w:rPr>
          <w:rFonts w:ascii="仿宋_GB2312" w:hAnsi="黑体" w:eastAsia="仿宋_GB2312"/>
          <w:sz w:val="32"/>
          <w:szCs w:val="32"/>
        </w:rPr>
      </w:pPr>
      <w:r>
        <w:rPr>
          <w:rFonts w:hint="eastAsia" w:ascii="仿宋_GB2312" w:hAnsi="黑体" w:eastAsia="仿宋_GB2312" w:cs="仿宋_GB2312"/>
          <w:sz w:val="32"/>
          <w:szCs w:val="32"/>
        </w:rPr>
        <w:t>设立的政策依据：</w:t>
      </w:r>
      <w:r>
        <w:rPr>
          <w:rFonts w:hint="eastAsia" w:ascii="仿宋_GB2312" w:hAnsi="宋体" w:eastAsia="仿宋_GB2312" w:cs="仿宋_GB2312"/>
          <w:kern w:val="0"/>
          <w:sz w:val="32"/>
          <w:szCs w:val="32"/>
        </w:rPr>
        <w:t>根据工作需要州领导审批</w:t>
      </w:r>
    </w:p>
    <w:p>
      <w:pPr>
        <w:widowControl/>
        <w:spacing w:line="580" w:lineRule="exact"/>
        <w:ind w:firstLine="640"/>
        <w:jc w:val="left"/>
        <w:rPr>
          <w:rFonts w:ascii="仿宋_GB2312" w:hAnsi="黑体" w:eastAsia="仿宋_GB2312"/>
          <w:sz w:val="32"/>
          <w:szCs w:val="32"/>
        </w:rPr>
      </w:pPr>
      <w:r>
        <w:rPr>
          <w:rFonts w:hint="eastAsia" w:ascii="仿宋_GB2312" w:hAnsi="黑体" w:eastAsia="仿宋_GB2312" w:cs="仿宋_GB2312"/>
          <w:sz w:val="32"/>
          <w:szCs w:val="32"/>
        </w:rPr>
        <w:t>预算安排规模：</w:t>
      </w:r>
      <w:r>
        <w:rPr>
          <w:rFonts w:ascii="仿宋_GB2312" w:hAnsi="宋体" w:eastAsia="仿宋_GB2312" w:cs="仿宋_GB2312"/>
          <w:kern w:val="0"/>
          <w:sz w:val="32"/>
          <w:szCs w:val="32"/>
        </w:rPr>
        <w:t>60</w:t>
      </w:r>
      <w:r>
        <w:rPr>
          <w:rFonts w:hint="eastAsia" w:ascii="仿宋_GB2312" w:hAnsi="宋体" w:eastAsia="仿宋_GB2312" w:cs="仿宋_GB2312"/>
          <w:kern w:val="0"/>
          <w:sz w:val="32"/>
          <w:szCs w:val="32"/>
        </w:rPr>
        <w:t>万元</w:t>
      </w:r>
    </w:p>
    <w:p>
      <w:pPr>
        <w:widowControl/>
        <w:spacing w:line="580" w:lineRule="exact"/>
        <w:ind w:firstLine="640"/>
        <w:jc w:val="left"/>
        <w:rPr>
          <w:rFonts w:ascii="仿宋_GB2312" w:hAnsi="黑体" w:eastAsia="仿宋_GB2312"/>
          <w:sz w:val="32"/>
          <w:szCs w:val="32"/>
        </w:rPr>
      </w:pPr>
      <w:r>
        <w:rPr>
          <w:rFonts w:hint="eastAsia" w:ascii="仿宋_GB2312" w:hAnsi="黑体" w:eastAsia="仿宋_GB2312" w:cs="仿宋_GB2312"/>
          <w:sz w:val="32"/>
          <w:szCs w:val="32"/>
        </w:rPr>
        <w:t>项目承担单位：</w:t>
      </w:r>
      <w:r>
        <w:rPr>
          <w:rFonts w:hint="eastAsia" w:ascii="仿宋_GB2312" w:hAnsi="宋体" w:eastAsia="仿宋_GB2312" w:cs="仿宋_GB2312"/>
          <w:kern w:val="0"/>
          <w:sz w:val="32"/>
          <w:szCs w:val="32"/>
        </w:rPr>
        <w:t>克州人民政府接待处</w:t>
      </w:r>
    </w:p>
    <w:p>
      <w:pPr>
        <w:widowControl/>
        <w:spacing w:line="580" w:lineRule="exact"/>
        <w:ind w:firstLine="640"/>
        <w:jc w:val="left"/>
        <w:rPr>
          <w:rFonts w:ascii="仿宋_GB2312" w:hAnsi="黑体" w:eastAsia="仿宋_GB2312"/>
          <w:sz w:val="32"/>
          <w:szCs w:val="32"/>
        </w:rPr>
      </w:pPr>
      <w:r>
        <w:rPr>
          <w:rFonts w:hint="eastAsia" w:ascii="仿宋_GB2312" w:hAnsi="黑体" w:eastAsia="仿宋_GB2312" w:cs="仿宋_GB2312"/>
          <w:sz w:val="32"/>
          <w:szCs w:val="32"/>
        </w:rPr>
        <w:t>资金分配情况：</w:t>
      </w:r>
      <w:r>
        <w:rPr>
          <w:rFonts w:hint="eastAsia" w:ascii="仿宋_GB2312" w:hAnsi="宋体" w:eastAsia="仿宋_GB2312" w:cs="仿宋_GB2312"/>
          <w:kern w:val="0"/>
          <w:sz w:val="32"/>
          <w:szCs w:val="32"/>
        </w:rPr>
        <w:t>主要用于喀什机场贵宾厅租金</w:t>
      </w:r>
    </w:p>
    <w:p>
      <w:pPr>
        <w:widowControl/>
        <w:spacing w:line="580" w:lineRule="exact"/>
        <w:ind w:firstLine="640"/>
        <w:jc w:val="left"/>
        <w:rPr>
          <w:rFonts w:ascii="仿宋_GB2312" w:hAnsi="宋体" w:eastAsia="仿宋_GB2312" w:cs="仿宋_GB2312"/>
          <w:kern w:val="0"/>
          <w:sz w:val="32"/>
          <w:szCs w:val="32"/>
        </w:rPr>
      </w:pPr>
      <w:r>
        <w:rPr>
          <w:rFonts w:hint="eastAsia" w:ascii="仿宋_GB2312" w:hAnsi="黑体" w:eastAsia="仿宋_GB2312" w:cs="仿宋_GB2312"/>
          <w:sz w:val="32"/>
          <w:szCs w:val="32"/>
        </w:rPr>
        <w:t>资金执行时间：</w:t>
      </w:r>
      <w:r>
        <w:rPr>
          <w:rFonts w:ascii="仿宋_GB2312" w:hAnsi="宋体" w:eastAsia="仿宋_GB2312" w:cs="仿宋_GB2312"/>
          <w:kern w:val="0"/>
          <w:sz w:val="32"/>
          <w:szCs w:val="32"/>
        </w:rPr>
        <w:t>20</w:t>
      </w:r>
      <w:r>
        <w:rPr>
          <w:rFonts w:hint="eastAsia" w:ascii="仿宋_GB2312" w:hAnsi="宋体" w:eastAsia="仿宋_GB2312" w:cs="仿宋_GB2312"/>
          <w:kern w:val="0"/>
          <w:sz w:val="32"/>
          <w:szCs w:val="32"/>
        </w:rPr>
        <w:t>20年全年</w:t>
      </w:r>
    </w:p>
    <w:p>
      <w:pPr>
        <w:widowControl/>
        <w:spacing w:line="580" w:lineRule="exact"/>
        <w:ind w:firstLine="640"/>
        <w:jc w:val="left"/>
        <w:rPr>
          <w:rFonts w:ascii="仿宋_GB2312" w:hAnsi="黑体" w:eastAsia="仿宋_GB2312"/>
          <w:sz w:val="32"/>
          <w:szCs w:val="32"/>
        </w:rPr>
      </w:pPr>
      <w:r>
        <w:rPr>
          <w:rFonts w:hint="eastAsia" w:ascii="仿宋_GB2312" w:hAnsi="宋体" w:eastAsia="仿宋_GB2312" w:cs="仿宋_GB2312"/>
          <w:kern w:val="0"/>
          <w:sz w:val="32"/>
          <w:szCs w:val="32"/>
        </w:rPr>
        <w:t>2、</w:t>
      </w:r>
      <w:r>
        <w:rPr>
          <w:rFonts w:hint="eastAsia" w:ascii="仿宋_GB2312" w:hAnsi="黑体" w:eastAsia="仿宋_GB2312" w:cs="仿宋_GB2312"/>
          <w:sz w:val="32"/>
          <w:szCs w:val="32"/>
        </w:rPr>
        <w:t>项目名称：</w:t>
      </w:r>
      <w:r>
        <w:rPr>
          <w:rFonts w:hint="eastAsia" w:ascii="仿宋_GB2312" w:hAnsi="宋体" w:eastAsia="仿宋_GB2312" w:cs="仿宋_GB2312"/>
          <w:kern w:val="0"/>
          <w:sz w:val="32"/>
          <w:szCs w:val="32"/>
        </w:rPr>
        <w:t>公务接待费</w:t>
      </w:r>
    </w:p>
    <w:p>
      <w:pPr>
        <w:widowControl/>
        <w:spacing w:line="580" w:lineRule="exact"/>
        <w:ind w:firstLine="640"/>
        <w:jc w:val="left"/>
        <w:rPr>
          <w:rFonts w:ascii="仿宋_GB2312" w:hAnsi="宋体" w:eastAsia="仿宋_GB2312"/>
          <w:kern w:val="0"/>
          <w:sz w:val="32"/>
          <w:szCs w:val="32"/>
        </w:rPr>
      </w:pPr>
      <w:r>
        <w:rPr>
          <w:rFonts w:hint="eastAsia" w:ascii="仿宋_GB2312" w:hAnsi="黑体" w:eastAsia="仿宋_GB2312" w:cs="仿宋_GB2312"/>
          <w:sz w:val="32"/>
          <w:szCs w:val="32"/>
        </w:rPr>
        <w:t>设立的政策依据：</w:t>
      </w:r>
      <w:r>
        <w:rPr>
          <w:rFonts w:hint="eastAsia" w:ascii="仿宋_GB2312" w:hAnsi="宋体" w:eastAsia="仿宋_GB2312" w:cs="仿宋_GB2312"/>
          <w:kern w:val="0"/>
          <w:sz w:val="32"/>
          <w:szCs w:val="32"/>
        </w:rPr>
        <w:t>根据工作需要州领导审批</w:t>
      </w:r>
    </w:p>
    <w:p>
      <w:pPr>
        <w:widowControl/>
        <w:spacing w:line="580" w:lineRule="exact"/>
        <w:ind w:firstLine="640"/>
        <w:jc w:val="left"/>
        <w:rPr>
          <w:rFonts w:ascii="仿宋_GB2312" w:hAnsi="黑体" w:eastAsia="仿宋_GB2312"/>
          <w:sz w:val="32"/>
          <w:szCs w:val="32"/>
        </w:rPr>
      </w:pPr>
      <w:r>
        <w:rPr>
          <w:rFonts w:hint="eastAsia" w:ascii="仿宋_GB2312" w:hAnsi="黑体" w:eastAsia="仿宋_GB2312" w:cs="仿宋_GB2312"/>
          <w:sz w:val="32"/>
          <w:szCs w:val="32"/>
        </w:rPr>
        <w:t>预算安排规模：</w:t>
      </w:r>
      <w:r>
        <w:rPr>
          <w:rFonts w:ascii="仿宋_GB2312" w:hAnsi="宋体" w:eastAsia="仿宋_GB2312" w:cs="仿宋_GB2312"/>
          <w:kern w:val="0"/>
          <w:sz w:val="32"/>
          <w:szCs w:val="32"/>
        </w:rPr>
        <w:t>40</w:t>
      </w:r>
      <w:r>
        <w:rPr>
          <w:rFonts w:hint="eastAsia" w:ascii="仿宋_GB2312" w:hAnsi="宋体" w:eastAsia="仿宋_GB2312" w:cs="仿宋_GB2312"/>
          <w:kern w:val="0"/>
          <w:sz w:val="32"/>
          <w:szCs w:val="32"/>
        </w:rPr>
        <w:t>万元</w:t>
      </w:r>
    </w:p>
    <w:p>
      <w:pPr>
        <w:widowControl/>
        <w:spacing w:line="580" w:lineRule="exact"/>
        <w:ind w:firstLine="640"/>
        <w:jc w:val="left"/>
        <w:rPr>
          <w:rFonts w:ascii="仿宋_GB2312" w:hAnsi="黑体" w:eastAsia="仿宋_GB2312"/>
          <w:sz w:val="32"/>
          <w:szCs w:val="32"/>
        </w:rPr>
      </w:pPr>
      <w:r>
        <w:rPr>
          <w:rFonts w:hint="eastAsia" w:ascii="仿宋_GB2312" w:hAnsi="黑体" w:eastAsia="仿宋_GB2312" w:cs="仿宋_GB2312"/>
          <w:sz w:val="32"/>
          <w:szCs w:val="32"/>
        </w:rPr>
        <w:t>项目承担单位：</w:t>
      </w:r>
      <w:r>
        <w:rPr>
          <w:rFonts w:hint="eastAsia" w:ascii="仿宋_GB2312" w:hAnsi="宋体" w:eastAsia="仿宋_GB2312" w:cs="仿宋_GB2312"/>
          <w:kern w:val="0"/>
          <w:sz w:val="32"/>
          <w:szCs w:val="32"/>
        </w:rPr>
        <w:t>克州人民政府接待处</w:t>
      </w:r>
    </w:p>
    <w:p>
      <w:pPr>
        <w:widowControl/>
        <w:spacing w:line="580" w:lineRule="exact"/>
        <w:ind w:firstLine="640"/>
        <w:jc w:val="left"/>
        <w:rPr>
          <w:rFonts w:ascii="仿宋_GB2312" w:hAnsi="黑体" w:eastAsia="仿宋_GB2312"/>
          <w:sz w:val="32"/>
          <w:szCs w:val="32"/>
        </w:rPr>
      </w:pPr>
      <w:r>
        <w:rPr>
          <w:rFonts w:hint="eastAsia" w:ascii="仿宋_GB2312" w:hAnsi="黑体" w:eastAsia="仿宋_GB2312" w:cs="仿宋_GB2312"/>
          <w:sz w:val="32"/>
          <w:szCs w:val="32"/>
        </w:rPr>
        <w:t>资金分配情况：</w:t>
      </w:r>
      <w:r>
        <w:rPr>
          <w:rFonts w:hint="eastAsia" w:ascii="仿宋_GB2312" w:hAnsi="宋体" w:eastAsia="仿宋_GB2312" w:cs="仿宋_GB2312"/>
          <w:kern w:val="0"/>
          <w:sz w:val="32"/>
          <w:szCs w:val="32"/>
        </w:rPr>
        <w:t>主要用于公务接待费</w:t>
      </w:r>
    </w:p>
    <w:p>
      <w:pPr>
        <w:widowControl/>
        <w:spacing w:line="580" w:lineRule="exact"/>
        <w:ind w:firstLine="640"/>
        <w:jc w:val="left"/>
        <w:rPr>
          <w:rFonts w:ascii="仿宋_GB2312" w:hAnsi="宋体" w:eastAsia="仿宋_GB2312"/>
          <w:kern w:val="0"/>
          <w:sz w:val="32"/>
          <w:szCs w:val="32"/>
        </w:rPr>
      </w:pPr>
      <w:r>
        <w:rPr>
          <w:rFonts w:hint="eastAsia" w:ascii="仿宋_GB2312" w:hAnsi="黑体" w:eastAsia="仿宋_GB2312" w:cs="仿宋_GB2312"/>
          <w:sz w:val="32"/>
          <w:szCs w:val="32"/>
        </w:rPr>
        <w:t>资金执行时间：</w:t>
      </w:r>
      <w:r>
        <w:rPr>
          <w:rFonts w:ascii="仿宋_GB2312" w:hAnsi="宋体" w:eastAsia="仿宋_GB2312" w:cs="仿宋_GB2312"/>
          <w:kern w:val="0"/>
          <w:sz w:val="32"/>
          <w:szCs w:val="32"/>
        </w:rPr>
        <w:t>20</w:t>
      </w:r>
      <w:r>
        <w:rPr>
          <w:rFonts w:hint="eastAsia" w:ascii="仿宋_GB2312" w:hAnsi="宋体" w:eastAsia="仿宋_GB2312" w:cs="仿宋_GB2312"/>
          <w:kern w:val="0"/>
          <w:sz w:val="32"/>
          <w:szCs w:val="32"/>
        </w:rPr>
        <w:t>20年全年</w:t>
      </w:r>
    </w:p>
    <w:p>
      <w:pPr>
        <w:widowControl/>
        <w:spacing w:line="580" w:lineRule="exact"/>
        <w:ind w:firstLine="640"/>
        <w:jc w:val="left"/>
        <w:rPr>
          <w:rFonts w:ascii="仿宋_GB2312" w:hAnsi="黑体" w:eastAsia="仿宋_GB2312"/>
          <w:sz w:val="32"/>
          <w:szCs w:val="32"/>
        </w:rPr>
      </w:pPr>
      <w:r>
        <w:rPr>
          <w:rFonts w:hint="eastAsia" w:ascii="仿宋_GB2312" w:hAnsi="宋体" w:eastAsia="仿宋_GB2312"/>
          <w:kern w:val="0"/>
          <w:sz w:val="32"/>
          <w:szCs w:val="32"/>
        </w:rPr>
        <w:t>3、</w:t>
      </w:r>
      <w:r>
        <w:rPr>
          <w:rFonts w:hint="eastAsia" w:ascii="仿宋_GB2312" w:hAnsi="黑体" w:eastAsia="仿宋_GB2312" w:cs="仿宋_GB2312"/>
          <w:sz w:val="32"/>
          <w:szCs w:val="32"/>
        </w:rPr>
        <w:t>项目名称：业务活动经费</w:t>
      </w:r>
    </w:p>
    <w:p>
      <w:pPr>
        <w:widowControl/>
        <w:spacing w:line="580" w:lineRule="exact"/>
        <w:ind w:firstLine="640"/>
        <w:jc w:val="left"/>
        <w:rPr>
          <w:rFonts w:ascii="仿宋_GB2312" w:hAnsi="宋体" w:eastAsia="仿宋_GB2312"/>
          <w:kern w:val="0"/>
          <w:sz w:val="32"/>
          <w:szCs w:val="32"/>
        </w:rPr>
      </w:pPr>
      <w:r>
        <w:rPr>
          <w:rFonts w:hint="eastAsia" w:ascii="仿宋_GB2312" w:hAnsi="黑体" w:eastAsia="仿宋_GB2312" w:cs="仿宋_GB2312"/>
          <w:sz w:val="32"/>
          <w:szCs w:val="32"/>
        </w:rPr>
        <w:t>设立的政策依据：</w:t>
      </w:r>
      <w:r>
        <w:rPr>
          <w:rFonts w:hint="eastAsia" w:ascii="仿宋_GB2312" w:hAnsi="宋体" w:eastAsia="仿宋_GB2312" w:cs="仿宋_GB2312"/>
          <w:kern w:val="0"/>
          <w:sz w:val="32"/>
          <w:szCs w:val="32"/>
        </w:rPr>
        <w:t>根据州委统一安排部署</w:t>
      </w:r>
    </w:p>
    <w:p>
      <w:pPr>
        <w:widowControl/>
        <w:spacing w:line="580" w:lineRule="exact"/>
        <w:ind w:firstLine="640"/>
        <w:jc w:val="left"/>
        <w:rPr>
          <w:rFonts w:ascii="仿宋_GB2312" w:hAnsi="黑体" w:eastAsia="仿宋_GB2312"/>
          <w:sz w:val="32"/>
          <w:szCs w:val="32"/>
        </w:rPr>
      </w:pPr>
      <w:r>
        <w:rPr>
          <w:rFonts w:hint="eastAsia" w:ascii="仿宋_GB2312" w:hAnsi="黑体" w:eastAsia="仿宋_GB2312" w:cs="仿宋_GB2312"/>
          <w:sz w:val="32"/>
          <w:szCs w:val="32"/>
        </w:rPr>
        <w:t>预算安排规模：</w:t>
      </w:r>
      <w:r>
        <w:rPr>
          <w:rFonts w:hint="eastAsia" w:ascii="仿宋_GB2312" w:hAnsi="宋体" w:eastAsia="仿宋_GB2312" w:cs="仿宋_GB2312"/>
          <w:kern w:val="0"/>
          <w:sz w:val="32"/>
          <w:szCs w:val="32"/>
        </w:rPr>
        <w:t>50万元</w:t>
      </w:r>
    </w:p>
    <w:p>
      <w:pPr>
        <w:widowControl/>
        <w:spacing w:line="580" w:lineRule="exact"/>
        <w:ind w:firstLine="640"/>
        <w:jc w:val="left"/>
        <w:rPr>
          <w:rFonts w:ascii="仿宋_GB2312" w:hAnsi="黑体" w:eastAsia="仿宋_GB2312"/>
          <w:sz w:val="32"/>
          <w:szCs w:val="32"/>
        </w:rPr>
      </w:pPr>
      <w:r>
        <w:rPr>
          <w:rFonts w:hint="eastAsia" w:ascii="仿宋_GB2312" w:hAnsi="黑体" w:eastAsia="仿宋_GB2312" w:cs="仿宋_GB2312"/>
          <w:sz w:val="32"/>
          <w:szCs w:val="32"/>
        </w:rPr>
        <w:t>项目承担单位：</w:t>
      </w:r>
      <w:r>
        <w:rPr>
          <w:rFonts w:hint="eastAsia" w:ascii="仿宋_GB2312" w:hAnsi="宋体" w:eastAsia="仿宋_GB2312" w:cs="仿宋_GB2312"/>
          <w:kern w:val="0"/>
          <w:sz w:val="32"/>
          <w:szCs w:val="32"/>
        </w:rPr>
        <w:t>克州政府办公室</w:t>
      </w:r>
    </w:p>
    <w:p>
      <w:pPr>
        <w:widowControl/>
        <w:spacing w:line="580" w:lineRule="exact"/>
        <w:ind w:firstLine="640"/>
        <w:jc w:val="left"/>
        <w:rPr>
          <w:rFonts w:ascii="仿宋_GB2312" w:hAnsi="黑体" w:eastAsia="仿宋_GB2312"/>
          <w:sz w:val="32"/>
          <w:szCs w:val="32"/>
        </w:rPr>
      </w:pPr>
      <w:r>
        <w:rPr>
          <w:rFonts w:hint="eastAsia" w:ascii="仿宋_GB2312" w:hAnsi="黑体" w:eastAsia="仿宋_GB2312" w:cs="仿宋_GB2312"/>
          <w:sz w:val="32"/>
          <w:szCs w:val="32"/>
        </w:rPr>
        <w:t>资金分配情况：</w:t>
      </w:r>
      <w:r>
        <w:rPr>
          <w:rFonts w:hint="eastAsia" w:ascii="仿宋_GB2312" w:hAnsi="宋体" w:eastAsia="仿宋_GB2312" w:cs="仿宋_GB2312"/>
          <w:kern w:val="0"/>
          <w:sz w:val="32"/>
          <w:szCs w:val="32"/>
        </w:rPr>
        <w:t>主要用于单位业务工作</w:t>
      </w:r>
    </w:p>
    <w:p>
      <w:pPr>
        <w:widowControl/>
        <w:spacing w:line="580" w:lineRule="exact"/>
        <w:ind w:firstLine="640"/>
        <w:jc w:val="left"/>
        <w:rPr>
          <w:rFonts w:ascii="仿宋_GB2312" w:hAnsi="宋体" w:eastAsia="仿宋_GB2312"/>
          <w:kern w:val="0"/>
          <w:sz w:val="32"/>
          <w:szCs w:val="32"/>
        </w:rPr>
      </w:pPr>
      <w:r>
        <w:rPr>
          <w:rFonts w:hint="eastAsia" w:ascii="仿宋_GB2312" w:hAnsi="黑体" w:eastAsia="仿宋_GB2312" w:cs="仿宋_GB2312"/>
          <w:sz w:val="32"/>
          <w:szCs w:val="32"/>
        </w:rPr>
        <w:t>资金执行时间：</w:t>
      </w:r>
      <w:r>
        <w:rPr>
          <w:rFonts w:ascii="仿宋_GB2312" w:hAnsi="宋体" w:eastAsia="仿宋_GB2312" w:cs="仿宋_GB2312"/>
          <w:kern w:val="0"/>
          <w:sz w:val="32"/>
          <w:szCs w:val="32"/>
        </w:rPr>
        <w:t>20</w:t>
      </w:r>
      <w:r>
        <w:rPr>
          <w:rFonts w:hint="eastAsia" w:ascii="仿宋_GB2312" w:hAnsi="宋体" w:eastAsia="仿宋_GB2312" w:cs="仿宋_GB2312"/>
          <w:kern w:val="0"/>
          <w:sz w:val="32"/>
          <w:szCs w:val="32"/>
        </w:rPr>
        <w:t>20年全年</w:t>
      </w:r>
    </w:p>
    <w:p>
      <w:pPr>
        <w:widowControl/>
        <w:spacing w:line="580" w:lineRule="exact"/>
        <w:ind w:firstLine="640"/>
        <w:jc w:val="left"/>
        <w:rPr>
          <w:rFonts w:ascii="仿宋_GB2312" w:hAnsi="黑体" w:eastAsia="仿宋_GB2312"/>
          <w:sz w:val="32"/>
          <w:szCs w:val="32"/>
        </w:rPr>
      </w:pPr>
      <w:r>
        <w:rPr>
          <w:rFonts w:hint="eastAsia" w:ascii="仿宋_GB2312" w:hAnsi="宋体" w:eastAsia="仿宋_GB2312"/>
          <w:kern w:val="0"/>
          <w:sz w:val="32"/>
          <w:szCs w:val="32"/>
        </w:rPr>
        <w:t>4、</w:t>
      </w:r>
      <w:r>
        <w:rPr>
          <w:rFonts w:hint="eastAsia" w:ascii="仿宋_GB2312" w:hAnsi="黑体" w:eastAsia="仿宋_GB2312" w:cs="仿宋_GB2312"/>
          <w:sz w:val="32"/>
          <w:szCs w:val="32"/>
        </w:rPr>
        <w:t>项目名称：</w:t>
      </w:r>
      <w:r>
        <w:rPr>
          <w:rFonts w:hint="eastAsia" w:ascii="仿宋_GB2312" w:hAnsi="宋体" w:eastAsia="仿宋_GB2312" w:cs="仿宋_GB2312"/>
          <w:kern w:val="0"/>
          <w:sz w:val="32"/>
          <w:szCs w:val="32"/>
        </w:rPr>
        <w:t>群众工作经费</w:t>
      </w:r>
    </w:p>
    <w:p>
      <w:pPr>
        <w:widowControl/>
        <w:spacing w:line="580" w:lineRule="exact"/>
        <w:ind w:firstLine="640"/>
        <w:jc w:val="left"/>
        <w:rPr>
          <w:rFonts w:ascii="仿宋_GB2312" w:hAnsi="宋体" w:eastAsia="仿宋_GB2312"/>
          <w:kern w:val="0"/>
          <w:sz w:val="32"/>
          <w:szCs w:val="32"/>
        </w:rPr>
      </w:pPr>
      <w:r>
        <w:rPr>
          <w:rFonts w:hint="eastAsia" w:ascii="仿宋_GB2312" w:hAnsi="黑体" w:eastAsia="仿宋_GB2312" w:cs="仿宋_GB2312"/>
          <w:sz w:val="32"/>
          <w:szCs w:val="32"/>
        </w:rPr>
        <w:t>设立的政策依据：</w:t>
      </w:r>
      <w:r>
        <w:rPr>
          <w:rFonts w:hint="eastAsia" w:ascii="仿宋_GB2312" w:hAnsi="宋体" w:eastAsia="仿宋_GB2312" w:cs="仿宋_GB2312"/>
          <w:kern w:val="0"/>
          <w:sz w:val="32"/>
          <w:szCs w:val="32"/>
        </w:rPr>
        <w:t>根据州委统一安排部署</w:t>
      </w:r>
    </w:p>
    <w:p>
      <w:pPr>
        <w:widowControl/>
        <w:spacing w:line="580" w:lineRule="exact"/>
        <w:ind w:firstLine="640"/>
        <w:jc w:val="left"/>
        <w:rPr>
          <w:rFonts w:ascii="仿宋_GB2312" w:hAnsi="黑体" w:eastAsia="仿宋_GB2312"/>
          <w:sz w:val="32"/>
          <w:szCs w:val="32"/>
        </w:rPr>
      </w:pPr>
      <w:r>
        <w:rPr>
          <w:rFonts w:hint="eastAsia" w:ascii="仿宋_GB2312" w:hAnsi="黑体" w:eastAsia="仿宋_GB2312" w:cs="仿宋_GB2312"/>
          <w:sz w:val="32"/>
          <w:szCs w:val="32"/>
        </w:rPr>
        <w:t>预算安排规模：</w:t>
      </w:r>
      <w:r>
        <w:rPr>
          <w:rFonts w:ascii="仿宋_GB2312" w:hAnsi="宋体" w:eastAsia="仿宋_GB2312" w:cs="仿宋_GB2312"/>
          <w:kern w:val="0"/>
          <w:sz w:val="32"/>
          <w:szCs w:val="32"/>
        </w:rPr>
        <w:t>7</w:t>
      </w:r>
      <w:r>
        <w:rPr>
          <w:rFonts w:hint="eastAsia" w:ascii="仿宋_GB2312" w:hAnsi="宋体" w:eastAsia="仿宋_GB2312" w:cs="仿宋_GB2312"/>
          <w:kern w:val="0"/>
          <w:sz w:val="32"/>
          <w:szCs w:val="32"/>
        </w:rPr>
        <w:t>万元</w:t>
      </w:r>
    </w:p>
    <w:p>
      <w:pPr>
        <w:widowControl/>
        <w:spacing w:line="580" w:lineRule="exact"/>
        <w:ind w:firstLine="640"/>
        <w:jc w:val="left"/>
        <w:rPr>
          <w:rFonts w:ascii="仿宋_GB2312" w:hAnsi="黑体" w:eastAsia="仿宋_GB2312"/>
          <w:sz w:val="32"/>
          <w:szCs w:val="32"/>
        </w:rPr>
      </w:pPr>
      <w:r>
        <w:rPr>
          <w:rFonts w:hint="eastAsia" w:ascii="仿宋_GB2312" w:hAnsi="黑体" w:eastAsia="仿宋_GB2312" w:cs="仿宋_GB2312"/>
          <w:sz w:val="32"/>
          <w:szCs w:val="32"/>
        </w:rPr>
        <w:t>项目承担单位：</w:t>
      </w:r>
      <w:r>
        <w:rPr>
          <w:rFonts w:hint="eastAsia" w:ascii="仿宋_GB2312" w:hAnsi="宋体" w:eastAsia="仿宋_GB2312" w:cs="仿宋_GB2312"/>
          <w:kern w:val="0"/>
          <w:sz w:val="32"/>
          <w:szCs w:val="32"/>
        </w:rPr>
        <w:t>克州政府办公室</w:t>
      </w:r>
    </w:p>
    <w:p>
      <w:pPr>
        <w:widowControl/>
        <w:spacing w:line="580" w:lineRule="exact"/>
        <w:ind w:firstLine="640"/>
        <w:jc w:val="left"/>
        <w:rPr>
          <w:rFonts w:ascii="仿宋_GB2312" w:hAnsi="黑体" w:eastAsia="仿宋_GB2312"/>
          <w:sz w:val="32"/>
          <w:szCs w:val="32"/>
        </w:rPr>
      </w:pPr>
      <w:r>
        <w:rPr>
          <w:rFonts w:hint="eastAsia" w:ascii="仿宋_GB2312" w:hAnsi="黑体" w:eastAsia="仿宋_GB2312" w:cs="仿宋_GB2312"/>
          <w:sz w:val="32"/>
          <w:szCs w:val="32"/>
        </w:rPr>
        <w:t>资金分配情况：</w:t>
      </w:r>
      <w:r>
        <w:rPr>
          <w:rFonts w:hint="eastAsia" w:ascii="仿宋_GB2312" w:hAnsi="宋体" w:eastAsia="仿宋_GB2312" w:cs="仿宋_GB2312"/>
          <w:kern w:val="0"/>
          <w:sz w:val="32"/>
          <w:szCs w:val="32"/>
        </w:rPr>
        <w:t>主要用于群众工作</w:t>
      </w:r>
    </w:p>
    <w:p>
      <w:pPr>
        <w:widowControl/>
        <w:spacing w:line="580" w:lineRule="exact"/>
        <w:ind w:firstLine="640"/>
        <w:jc w:val="left"/>
        <w:rPr>
          <w:rFonts w:ascii="仿宋_GB2312" w:hAnsi="宋体" w:eastAsia="仿宋_GB2312"/>
          <w:kern w:val="0"/>
          <w:sz w:val="32"/>
          <w:szCs w:val="32"/>
        </w:rPr>
      </w:pPr>
      <w:r>
        <w:rPr>
          <w:rFonts w:hint="eastAsia" w:ascii="仿宋_GB2312" w:hAnsi="黑体" w:eastAsia="仿宋_GB2312" w:cs="仿宋_GB2312"/>
          <w:sz w:val="32"/>
          <w:szCs w:val="32"/>
        </w:rPr>
        <w:t>资金执行时间：</w:t>
      </w:r>
      <w:r>
        <w:rPr>
          <w:rFonts w:ascii="仿宋_GB2312" w:hAnsi="宋体" w:eastAsia="仿宋_GB2312" w:cs="仿宋_GB2312"/>
          <w:kern w:val="0"/>
          <w:sz w:val="32"/>
          <w:szCs w:val="32"/>
        </w:rPr>
        <w:t>20</w:t>
      </w:r>
      <w:r>
        <w:rPr>
          <w:rFonts w:hint="eastAsia" w:ascii="仿宋_GB2312" w:hAnsi="宋体" w:eastAsia="仿宋_GB2312" w:cs="仿宋_GB2312"/>
          <w:kern w:val="0"/>
          <w:sz w:val="32"/>
          <w:szCs w:val="32"/>
        </w:rPr>
        <w:t>20年全年</w:t>
      </w:r>
    </w:p>
    <w:p>
      <w:pPr>
        <w:widowControl/>
        <w:spacing w:line="580" w:lineRule="exact"/>
        <w:ind w:firstLine="640"/>
        <w:jc w:val="left"/>
        <w:rPr>
          <w:rFonts w:ascii="仿宋_GB2312" w:hAnsi="黑体" w:eastAsia="仿宋_GB2312"/>
          <w:sz w:val="32"/>
          <w:szCs w:val="32"/>
        </w:rPr>
      </w:pPr>
      <w:r>
        <w:rPr>
          <w:rFonts w:hint="eastAsia" w:ascii="仿宋_GB2312" w:hAnsi="宋体" w:eastAsia="仿宋_GB2312"/>
          <w:kern w:val="0"/>
          <w:sz w:val="32"/>
          <w:szCs w:val="32"/>
        </w:rPr>
        <w:t>5、</w:t>
      </w:r>
      <w:r>
        <w:rPr>
          <w:rFonts w:hint="eastAsia" w:ascii="仿宋_GB2312" w:hAnsi="黑体" w:eastAsia="仿宋_GB2312" w:cs="仿宋_GB2312"/>
          <w:sz w:val="32"/>
          <w:szCs w:val="32"/>
        </w:rPr>
        <w:t>项目名称：为民办事工作</w:t>
      </w:r>
      <w:r>
        <w:rPr>
          <w:rFonts w:hint="eastAsia" w:ascii="仿宋_GB2312" w:hAnsi="宋体" w:eastAsia="仿宋_GB2312" w:cs="仿宋_GB2312"/>
          <w:kern w:val="0"/>
          <w:sz w:val="32"/>
          <w:szCs w:val="32"/>
        </w:rPr>
        <w:t>经费</w:t>
      </w:r>
    </w:p>
    <w:p>
      <w:pPr>
        <w:widowControl/>
        <w:spacing w:line="580" w:lineRule="exact"/>
        <w:ind w:firstLine="640"/>
        <w:jc w:val="left"/>
        <w:rPr>
          <w:rFonts w:ascii="仿宋_GB2312" w:hAnsi="宋体" w:eastAsia="仿宋_GB2312"/>
          <w:kern w:val="0"/>
          <w:sz w:val="32"/>
          <w:szCs w:val="32"/>
        </w:rPr>
      </w:pPr>
      <w:r>
        <w:rPr>
          <w:rFonts w:hint="eastAsia" w:ascii="仿宋_GB2312" w:hAnsi="黑体" w:eastAsia="仿宋_GB2312" w:cs="仿宋_GB2312"/>
          <w:sz w:val="32"/>
          <w:szCs w:val="32"/>
        </w:rPr>
        <w:t>设立的政策依据：</w:t>
      </w:r>
      <w:r>
        <w:rPr>
          <w:rFonts w:hint="eastAsia" w:ascii="仿宋_GB2312" w:hAnsi="宋体" w:eastAsia="仿宋_GB2312" w:cs="仿宋_GB2312"/>
          <w:kern w:val="0"/>
          <w:sz w:val="32"/>
          <w:szCs w:val="32"/>
        </w:rPr>
        <w:t>根据自治区党委统一安排部署</w:t>
      </w:r>
    </w:p>
    <w:p>
      <w:pPr>
        <w:widowControl/>
        <w:spacing w:line="580" w:lineRule="exact"/>
        <w:ind w:firstLine="640"/>
        <w:jc w:val="left"/>
        <w:rPr>
          <w:rFonts w:ascii="仿宋_GB2312" w:hAnsi="黑体" w:eastAsia="仿宋_GB2312"/>
          <w:sz w:val="32"/>
          <w:szCs w:val="32"/>
        </w:rPr>
      </w:pPr>
      <w:r>
        <w:rPr>
          <w:rFonts w:hint="eastAsia" w:ascii="仿宋_GB2312" w:hAnsi="黑体" w:eastAsia="仿宋_GB2312" w:cs="仿宋_GB2312"/>
          <w:sz w:val="32"/>
          <w:szCs w:val="32"/>
        </w:rPr>
        <w:t>预算安排规模：1</w:t>
      </w:r>
      <w:r>
        <w:rPr>
          <w:rFonts w:ascii="仿宋_GB2312" w:hAnsi="宋体" w:eastAsia="仿宋_GB2312" w:cs="仿宋_GB2312"/>
          <w:kern w:val="0"/>
          <w:sz w:val="32"/>
          <w:szCs w:val="32"/>
        </w:rPr>
        <w:t>7</w:t>
      </w:r>
      <w:r>
        <w:rPr>
          <w:rFonts w:hint="eastAsia" w:ascii="仿宋_GB2312" w:hAnsi="宋体" w:eastAsia="仿宋_GB2312" w:cs="仿宋_GB2312"/>
          <w:kern w:val="0"/>
          <w:sz w:val="32"/>
          <w:szCs w:val="32"/>
        </w:rPr>
        <w:t>万元</w:t>
      </w:r>
    </w:p>
    <w:p>
      <w:pPr>
        <w:widowControl/>
        <w:spacing w:line="580" w:lineRule="exact"/>
        <w:ind w:firstLine="640"/>
        <w:jc w:val="left"/>
        <w:rPr>
          <w:rFonts w:ascii="仿宋_GB2312" w:hAnsi="黑体" w:eastAsia="仿宋_GB2312"/>
          <w:sz w:val="32"/>
          <w:szCs w:val="32"/>
        </w:rPr>
      </w:pPr>
      <w:r>
        <w:rPr>
          <w:rFonts w:hint="eastAsia" w:ascii="仿宋_GB2312" w:hAnsi="黑体" w:eastAsia="仿宋_GB2312" w:cs="仿宋_GB2312"/>
          <w:sz w:val="32"/>
          <w:szCs w:val="32"/>
        </w:rPr>
        <w:t>项目承担单位：</w:t>
      </w:r>
      <w:r>
        <w:rPr>
          <w:rFonts w:hint="eastAsia" w:ascii="仿宋_GB2312" w:hAnsi="宋体" w:eastAsia="仿宋_GB2312" w:cs="仿宋_GB2312"/>
          <w:kern w:val="0"/>
          <w:sz w:val="32"/>
          <w:szCs w:val="32"/>
        </w:rPr>
        <w:t>克州政府办公室</w:t>
      </w:r>
    </w:p>
    <w:p>
      <w:pPr>
        <w:widowControl/>
        <w:spacing w:line="580" w:lineRule="exact"/>
        <w:ind w:firstLine="640"/>
        <w:jc w:val="left"/>
        <w:rPr>
          <w:rFonts w:ascii="仿宋_GB2312" w:hAnsi="黑体" w:eastAsia="仿宋_GB2312"/>
          <w:sz w:val="32"/>
          <w:szCs w:val="32"/>
        </w:rPr>
      </w:pPr>
      <w:r>
        <w:rPr>
          <w:rFonts w:hint="eastAsia" w:ascii="仿宋_GB2312" w:hAnsi="黑体" w:eastAsia="仿宋_GB2312" w:cs="仿宋_GB2312"/>
          <w:sz w:val="32"/>
          <w:szCs w:val="32"/>
        </w:rPr>
        <w:t>资金分配情况：</w:t>
      </w:r>
      <w:r>
        <w:rPr>
          <w:rFonts w:hint="eastAsia" w:ascii="仿宋_GB2312" w:hAnsi="宋体" w:eastAsia="仿宋_GB2312" w:cs="仿宋_GB2312"/>
          <w:kern w:val="0"/>
          <w:sz w:val="32"/>
          <w:szCs w:val="32"/>
        </w:rPr>
        <w:t>主要用于群众工作</w:t>
      </w:r>
    </w:p>
    <w:p>
      <w:pPr>
        <w:widowControl/>
        <w:spacing w:line="580" w:lineRule="exact"/>
        <w:ind w:firstLine="640"/>
        <w:jc w:val="left"/>
        <w:rPr>
          <w:rFonts w:ascii="仿宋_GB2312" w:hAnsi="宋体" w:eastAsia="仿宋_GB2312"/>
          <w:kern w:val="0"/>
          <w:sz w:val="32"/>
          <w:szCs w:val="32"/>
        </w:rPr>
      </w:pPr>
      <w:r>
        <w:rPr>
          <w:rFonts w:hint="eastAsia" w:ascii="仿宋_GB2312" w:hAnsi="黑体" w:eastAsia="仿宋_GB2312" w:cs="仿宋_GB2312"/>
          <w:sz w:val="32"/>
          <w:szCs w:val="32"/>
        </w:rPr>
        <w:t>资金执行时间：</w:t>
      </w:r>
      <w:r>
        <w:rPr>
          <w:rFonts w:ascii="仿宋_GB2312" w:hAnsi="宋体" w:eastAsia="仿宋_GB2312" w:cs="仿宋_GB2312"/>
          <w:kern w:val="0"/>
          <w:sz w:val="32"/>
          <w:szCs w:val="32"/>
        </w:rPr>
        <w:t>20</w:t>
      </w:r>
      <w:r>
        <w:rPr>
          <w:rFonts w:hint="eastAsia" w:ascii="仿宋_GB2312" w:hAnsi="宋体" w:eastAsia="仿宋_GB2312" w:cs="仿宋_GB2312"/>
          <w:kern w:val="0"/>
          <w:sz w:val="32"/>
          <w:szCs w:val="32"/>
        </w:rPr>
        <w:t>20年全年</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八、关于克州政府办公室2020年一般公共预算“三公”经费预算情况说明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克州政府办公室2020年“三公”经费财政拨款预算数为133.6万元，其中：因公出国（境）费0万元，公务用车购置0万元，公务用车运行费93.6万元，公务接待费40万元。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2020年“三公”经费财政拨款预算比上年增加（减少）   11.9万元，其中：因公出国（境）费增加（减少）0万元，主要原因是无 ；公务用车购置费为0，未安排预算。[或公务用车购置费增加（减少）0万元，主要原因是无]；公务用车运行费增加11.9万元，主要原因是单位从相关部门调拨2辆车；公务接待费增加（减少）0万元，主要原因是坚持执行中央八项规定。</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九、关于克州政府办公室2020年政府性基金预算拨款情况说明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克州政府办公室2020年没有使用政府性基金预算拨款安排的支出，政府性基金预算支出情况表为空表。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2020年，克州政府办公室本级及下属0家行政单位和  家0事业单位的机关运行经费财政拨款预算311.52万元，比上年预算增加136.65万元，增长78.14%。主要原因是人员工资增加。</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2020年，克州政府办公室及下属单位政府采购预算   144.4万元，其中：政府采购货物预算54.4万元，政府采购工程预算0万元，政府采购服务预算90万元。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2020年度本部门面向中小企业预留政府采购项目预算金额0万元，其中：面向小微企业预留政府采购项目预算金额0万元。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截至2020年底，克州政府办公室及下属各预算单位占用使用国有资产总体情况为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1.房屋156平方米，价值24.59万元。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2.车辆21辆，价值857.52万元；其中：一般公务用车  14辆，价值525.26万元；执法执勤用车0辆，价值0万元；其他车辆7辆，价值332.26万元。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3.办公家具价值15.99万元。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4.其他资产价值406.06万元。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2020年部门预算未安排购置车辆经费（或安排购置车辆经费0万元），安排购置50万元以上大型设备0台（套），单位价值100万元以上大型设备0台（套）。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2020年度，本年度实行绩效管理的项目5个，涉及预算金额174万元。具体情况见下表（按项目分别填报）：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13973" w:type="dxa"/>
        <w:tblInd w:w="93" w:type="dxa"/>
        <w:tblLayout w:type="autofit"/>
        <w:tblCellMar>
          <w:top w:w="0" w:type="dxa"/>
          <w:left w:w="108" w:type="dxa"/>
          <w:bottom w:w="0" w:type="dxa"/>
          <w:right w:w="108" w:type="dxa"/>
        </w:tblCellMar>
      </w:tblPr>
      <w:tblGrid>
        <w:gridCol w:w="2195"/>
        <w:gridCol w:w="1857"/>
        <w:gridCol w:w="1664"/>
        <w:gridCol w:w="500"/>
        <w:gridCol w:w="1164"/>
        <w:gridCol w:w="323"/>
        <w:gridCol w:w="323"/>
        <w:gridCol w:w="1061"/>
        <w:gridCol w:w="864"/>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4"/>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克州政府办公室</w:t>
            </w:r>
          </w:p>
        </w:tc>
        <w:tc>
          <w:tcPr>
            <w:tcW w:w="19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公务接待费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40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40</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3"/>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着力在提升服务质量上求突破，用新理念、新思想、新标准、新方式审视公务接待工作，圆满完成各项接待任务。</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省部级住宿标准1人1天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≤820元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厅级住宿标准1人1天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≤480元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其他住宿标准1人1天</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≤320元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伙食补助1人1天</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≤120元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交通补助1人1天</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开始时间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2020年1月1日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结束时间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2020年12月31日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全年共接待来州考察、调研、检查、学习参观</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≤330团队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保障重大活重大活动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≤5次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公务接待事故发生率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　</w:t>
            </w:r>
          </w:p>
        </w:tc>
      </w:tr>
      <w:tr>
        <w:tblPrEx>
          <w:tblCellMar>
            <w:top w:w="0" w:type="dxa"/>
            <w:left w:w="108" w:type="dxa"/>
            <w:bottom w:w="0" w:type="dxa"/>
            <w:right w:w="108" w:type="dxa"/>
          </w:tblCellMar>
        </w:tblPrEx>
        <w:trPr>
          <w:trHeight w:val="283" w:hRule="atLeast"/>
        </w:trPr>
        <w:tc>
          <w:tcPr>
            <w:tcW w:w="219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新理念、新思维、新标准、新方式审视公务接待工作，圆满完成各项接待任务</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接待工作中注重融入本地历史、艺术、风土、民俗等特色元素，全方位展示克州的形象和魅力，让宾客在潜移默化中加深对克州的美好印象。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宾客满意率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≥98%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06" w:hRule="atLeast"/>
        </w:trPr>
        <w:tc>
          <w:tcPr>
            <w:tcW w:w="13973" w:type="dxa"/>
            <w:gridSpan w:val="14"/>
            <w:tcBorders>
              <w:top w:val="nil"/>
              <w:left w:val="nil"/>
              <w:bottom w:val="nil"/>
              <w:right w:val="nil"/>
            </w:tcBorders>
            <w:shd w:val="clear" w:color="auto" w:fill="auto"/>
            <w:noWrap/>
            <w:vAlign w:val="bottom"/>
          </w:tcPr>
          <w:p>
            <w:pPr>
              <w:widowControl/>
              <w:jc w:val="center"/>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克州政府办公室</w:t>
            </w:r>
          </w:p>
        </w:tc>
        <w:tc>
          <w:tcPr>
            <w:tcW w:w="19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机场设施租用费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60</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60</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3"/>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为进一步提高接待质量和接待水平，为来州要客办理机场贵宾通行。</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p>
            <w:pPr>
              <w:rPr>
                <w:rFonts w:ascii="宋体" w:hAnsi="宋体" w:cs="宋体"/>
                <w:sz w:val="18"/>
                <w:szCs w:val="18"/>
              </w:rPr>
            </w:pPr>
          </w:p>
          <w:p>
            <w:pPr>
              <w:rPr>
                <w:rFonts w:ascii="宋体" w:hAnsi="宋体" w:cs="宋体"/>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全年贵宾厅使用租金</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≤60万元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贵宾厅服务开始时间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2020年1月1日</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贵宾厅服务结束时间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2020年12月31日</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全年贵宾厅使用组团</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≥100团组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全年贵宾厅使用人次</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≤2000人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贵宾厅使用面积</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=106平米</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全年贵宾厅使用事故发生率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=0</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restart"/>
            <w:tcBorders>
              <w:top w:val="single" w:color="auto" w:sz="4" w:space="0"/>
              <w:left w:val="single" w:color="000000" w:sz="4" w:space="0"/>
              <w:right w:val="single" w:color="000000" w:sz="4" w:space="0"/>
            </w:tcBorders>
            <w:vAlign w:val="center"/>
          </w:tcPr>
          <w:p>
            <w:pPr>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按照中央八项规定、自治区、自治州有关公务接待规定完成公务接待</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按照中央八项规定、自治区、自治州有关公务接待规定完成公务接待　</w:t>
            </w:r>
          </w:p>
        </w:tc>
      </w:tr>
      <w:tr>
        <w:tblPrEx>
          <w:tblCellMar>
            <w:top w:w="0" w:type="dxa"/>
            <w:left w:w="108" w:type="dxa"/>
            <w:bottom w:w="0" w:type="dxa"/>
            <w:right w:w="108" w:type="dxa"/>
          </w:tblCellMar>
        </w:tblPrEx>
        <w:trPr>
          <w:trHeight w:val="283" w:hRule="atLeast"/>
        </w:trPr>
        <w:tc>
          <w:tcPr>
            <w:tcW w:w="2195" w:type="dxa"/>
            <w:vMerge w:val="continue"/>
            <w:tcBorders>
              <w:left w:val="single" w:color="000000" w:sz="4" w:space="0"/>
              <w:right w:val="single" w:color="000000" w:sz="4" w:space="0"/>
            </w:tcBorders>
            <w:vAlign w:val="center"/>
          </w:tcPr>
          <w:p>
            <w:pPr>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为进一步提高接待质量和接待水平，为来州要客办理机场贵宾通行。</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提高接待贵宾质量和水平，树立美丽克州形象　</w:t>
            </w:r>
          </w:p>
        </w:tc>
      </w:tr>
      <w:tr>
        <w:tblPrEx>
          <w:tblCellMar>
            <w:top w:w="0" w:type="dxa"/>
            <w:left w:w="108" w:type="dxa"/>
            <w:bottom w:w="0" w:type="dxa"/>
            <w:right w:w="108" w:type="dxa"/>
          </w:tblCellMar>
        </w:tblPrEx>
        <w:trPr>
          <w:trHeight w:val="283"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使用贵宾厅宾客满意度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6" w:hRule="atLeast"/>
        </w:trPr>
        <w:tc>
          <w:tcPr>
            <w:tcW w:w="13973" w:type="dxa"/>
            <w:gridSpan w:val="14"/>
            <w:tcBorders>
              <w:top w:val="nil"/>
              <w:left w:val="nil"/>
              <w:bottom w:val="nil"/>
              <w:right w:val="nil"/>
            </w:tcBorders>
            <w:shd w:val="clear" w:color="auto" w:fill="auto"/>
            <w:noWrap/>
            <w:vAlign w:val="bottom"/>
          </w:tcPr>
          <w:p>
            <w:pPr>
              <w:widowControl/>
              <w:jc w:val="center"/>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克州政府办公室</w:t>
            </w:r>
          </w:p>
        </w:tc>
        <w:tc>
          <w:tcPr>
            <w:tcW w:w="19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为民办事工作等经费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17</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3"/>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通过开展群众工作，加强民族团结，增进民族互信，突出现代文化引领，促进宗教和谐，落实民生建设任务，增加农牧民收入，关心关爱贫困户、低保户、残疾人等特殊家庭，帮助解决生产生活中的实际困难，实现维护社会稳定和长治久安总目标。</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修建8间门面房经费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≤21万元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集中连片安装路灯经费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开始时间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2020年1月1日</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结束时间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2020年12月31日</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实现脱贫人数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=459人</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解决群众生产生活困难</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≥100件</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开展宣传宣讲惠民政策</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每批开展宣传宣讲惠民政策参加群众</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≥2230人</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开展群众工作覆盖率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农民对宣讲宣传惠民政策收益率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以帮助劳动力缺乏困难家庭为重点，发挥“农机服务队”“志愿者服务队”作用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村容村貌进一步改善</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持续助力农民脱贫</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持续助力农民脱贫</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受益村民满意度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06" w:hRule="atLeast"/>
        </w:trPr>
        <w:tc>
          <w:tcPr>
            <w:tcW w:w="13973" w:type="dxa"/>
            <w:gridSpan w:val="14"/>
            <w:tcBorders>
              <w:top w:val="nil"/>
              <w:left w:val="nil"/>
              <w:bottom w:val="nil"/>
              <w:right w:val="nil"/>
            </w:tcBorders>
            <w:shd w:val="clear" w:color="auto" w:fill="auto"/>
            <w:noWrap/>
            <w:vAlign w:val="bottom"/>
          </w:tcPr>
          <w:p>
            <w:pPr>
              <w:widowControl/>
              <w:jc w:val="center"/>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克州政府办公室</w:t>
            </w:r>
          </w:p>
        </w:tc>
        <w:tc>
          <w:tcPr>
            <w:tcW w:w="19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3"/>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提升该村基层组织工作能力，改善村委会办公基础条件，贯彻落实党的惠民政策；纵深推进扶贫攻坚。</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油耗（升）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办公综合耗材1批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≤2000元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开展群众工作开始时间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2020年1月1日</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开展群众工作结束时间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2020年12月31日</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群众工作车辆油耗</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≥2000升</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购买办公综合耗材</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开展联谊活动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提升群众工作效率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购买物品验收合格率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全面贯彻落实党的民族政策，扎实开展“民族团结一家亲”和民族团结联谊活动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顺利完成“结亲周”和“两个全覆盖”工作</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持续贯彻落实党的惠民政策，提升民族团结意识</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持续贯彻落实党的惠民政策，提升民族团结意识</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受益村民满意度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CellMar>
            <w:top w:w="0" w:type="dxa"/>
            <w:left w:w="108" w:type="dxa"/>
            <w:bottom w:w="0" w:type="dxa"/>
            <w:right w:w="108" w:type="dxa"/>
          </w:tblCellMar>
        </w:tblPrEx>
        <w:trPr>
          <w:trHeight w:val="406" w:hRule="atLeast"/>
        </w:trPr>
        <w:tc>
          <w:tcPr>
            <w:tcW w:w="13973" w:type="dxa"/>
            <w:gridSpan w:val="14"/>
            <w:tcBorders>
              <w:top w:val="nil"/>
              <w:left w:val="nil"/>
              <w:bottom w:val="nil"/>
              <w:right w:val="nil"/>
            </w:tcBorders>
            <w:shd w:val="clear" w:color="auto" w:fill="auto"/>
            <w:noWrap/>
            <w:vAlign w:val="bottom"/>
          </w:tcPr>
          <w:p>
            <w:pPr>
              <w:widowControl/>
              <w:jc w:val="center"/>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克州政府办公室</w:t>
            </w:r>
          </w:p>
        </w:tc>
        <w:tc>
          <w:tcPr>
            <w:tcW w:w="19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业务活动经费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50</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3"/>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认真履行“参谋助手、综合协调、督查落实、保障服务”的工作职能，创新工作机制，完善工作措施，推动工作落实，不断提高“三办”“三服务”质量和水平，确保了州政府工作的高效有序运转。</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503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48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503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调研、检查工作伙食补助1人1天　</w:t>
            </w:r>
          </w:p>
        </w:tc>
        <w:tc>
          <w:tcPr>
            <w:tcW w:w="48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≤120元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503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自治州人民政府应急指挥中心系统维护每年　</w:t>
            </w:r>
          </w:p>
        </w:tc>
        <w:tc>
          <w:tcPr>
            <w:tcW w:w="48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≤7万元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503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专网租赁每月</w:t>
            </w:r>
          </w:p>
        </w:tc>
        <w:tc>
          <w:tcPr>
            <w:tcW w:w="48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≤1500元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03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自治州人民政府移动办公平台运行维护费</w:t>
            </w:r>
          </w:p>
        </w:tc>
        <w:tc>
          <w:tcPr>
            <w:tcW w:w="48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503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各项工作开始时间</w:t>
            </w:r>
          </w:p>
        </w:tc>
        <w:tc>
          <w:tcPr>
            <w:tcW w:w="48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2020年1月1日</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03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各项工作结束时间</w:t>
            </w:r>
          </w:p>
        </w:tc>
        <w:tc>
          <w:tcPr>
            <w:tcW w:w="48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2020年12月31日</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503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全年编辑印发政务信政务信息</w:t>
            </w:r>
          </w:p>
        </w:tc>
        <w:tc>
          <w:tcPr>
            <w:tcW w:w="48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≤1000篇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503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自治区级重大督查事项</w:t>
            </w:r>
          </w:p>
        </w:tc>
        <w:tc>
          <w:tcPr>
            <w:tcW w:w="48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503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自治州级重大督查事项</w:t>
            </w:r>
          </w:p>
        </w:tc>
        <w:tc>
          <w:tcPr>
            <w:tcW w:w="48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503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保障完成自治区、自治州各类视频会议</w:t>
            </w:r>
          </w:p>
        </w:tc>
        <w:tc>
          <w:tcPr>
            <w:tcW w:w="48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03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协同办公平台累计流转无纸化文档</w:t>
            </w:r>
          </w:p>
        </w:tc>
        <w:tc>
          <w:tcPr>
            <w:tcW w:w="48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≤5000篇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503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云短信平台短信业务提醒督查率</w:t>
            </w:r>
          </w:p>
        </w:tc>
        <w:tc>
          <w:tcPr>
            <w:tcW w:w="48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503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保证政府非涉密公文正常、高效流转</w:t>
            </w:r>
          </w:p>
        </w:tc>
        <w:tc>
          <w:tcPr>
            <w:tcW w:w="48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≥70%</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503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应急指挥中指挥中心运维事故率</w:t>
            </w:r>
          </w:p>
        </w:tc>
        <w:tc>
          <w:tcPr>
            <w:tcW w:w="48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503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调研乡（镇）、村覆盖率</w:t>
            </w:r>
          </w:p>
        </w:tc>
        <w:tc>
          <w:tcPr>
            <w:tcW w:w="48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03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人大代表建议、政协委员提案办结率</w:t>
            </w:r>
          </w:p>
        </w:tc>
        <w:tc>
          <w:tcPr>
            <w:tcW w:w="48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=100%</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503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步推进协同办公应用，降低办公经费</w:t>
            </w:r>
          </w:p>
        </w:tc>
        <w:tc>
          <w:tcPr>
            <w:tcW w:w="48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努力实现七成以上非涉密公文平台上办理，节约办公成本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503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充分发挥政务信息的主渠道作用，以优质、快速、准确的信息服务于领导决策</w:t>
            </w:r>
          </w:p>
        </w:tc>
        <w:tc>
          <w:tcPr>
            <w:tcW w:w="48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充分发挥政务信息的主渠道作用，以优质、快速、准确的信息服务于领导决策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nil"/>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nil"/>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503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移动办公平台使用人员满意度</w:t>
            </w:r>
          </w:p>
        </w:tc>
        <w:tc>
          <w:tcPr>
            <w:tcW w:w="48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≥75%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1857" w:type="dxa"/>
            <w:tcBorders>
              <w:top w:val="nil"/>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5035"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数据真实情况抽查、领导决策参考率</w:t>
            </w:r>
          </w:p>
        </w:tc>
        <w:tc>
          <w:tcPr>
            <w:tcW w:w="4886"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≥70%</w:t>
            </w:r>
          </w:p>
        </w:tc>
      </w:tr>
    </w:tbl>
    <w:p>
      <w:pPr>
        <w:rPr>
          <w:rFonts w:ascii="楷体_GB2312" w:hAnsi="宋体" w:eastAsia="楷体_GB2312" w:cs="宋体"/>
          <w:sz w:val="32"/>
          <w:szCs w:val="32"/>
        </w:rPr>
        <w:sectPr>
          <w:pgSz w:w="16838" w:h="11906" w:orient="landscape"/>
          <w:pgMar w:top="851" w:right="1440" w:bottom="851" w:left="1440" w:header="851" w:footer="992" w:gutter="0"/>
          <w:pgNumType w:fmt="numberInDash" w:start="21"/>
          <w:cols w:space="425"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无。</w:t>
      </w: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克州政府办公室 </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2020年1月19日</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方正小标宋_GBK">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D5"/>
    <w:rsid w:val="00003638"/>
    <w:rsid w:val="00012D28"/>
    <w:rsid w:val="00032AE8"/>
    <w:rsid w:val="000343F0"/>
    <w:rsid w:val="000B2350"/>
    <w:rsid w:val="000B4F23"/>
    <w:rsid w:val="000D56B0"/>
    <w:rsid w:val="00106382"/>
    <w:rsid w:val="00114DEC"/>
    <w:rsid w:val="00184789"/>
    <w:rsid w:val="001934F0"/>
    <w:rsid w:val="001E7D7B"/>
    <w:rsid w:val="002B57CE"/>
    <w:rsid w:val="00317FB8"/>
    <w:rsid w:val="00324290"/>
    <w:rsid w:val="00345818"/>
    <w:rsid w:val="00387451"/>
    <w:rsid w:val="003934F5"/>
    <w:rsid w:val="00415067"/>
    <w:rsid w:val="00432267"/>
    <w:rsid w:val="004468E5"/>
    <w:rsid w:val="00481CD5"/>
    <w:rsid w:val="004936ED"/>
    <w:rsid w:val="00493EEE"/>
    <w:rsid w:val="00585ADE"/>
    <w:rsid w:val="005C42E0"/>
    <w:rsid w:val="006148E3"/>
    <w:rsid w:val="00622F4C"/>
    <w:rsid w:val="006707E6"/>
    <w:rsid w:val="00674974"/>
    <w:rsid w:val="006C5C5C"/>
    <w:rsid w:val="007B11C2"/>
    <w:rsid w:val="008160EE"/>
    <w:rsid w:val="00844661"/>
    <w:rsid w:val="008715C9"/>
    <w:rsid w:val="00880A7A"/>
    <w:rsid w:val="008D1F17"/>
    <w:rsid w:val="009A59AB"/>
    <w:rsid w:val="009C0324"/>
    <w:rsid w:val="009D0AA2"/>
    <w:rsid w:val="009D699B"/>
    <w:rsid w:val="00A0722A"/>
    <w:rsid w:val="00A66BC3"/>
    <w:rsid w:val="00B217DF"/>
    <w:rsid w:val="00B22D8A"/>
    <w:rsid w:val="00B26FE3"/>
    <w:rsid w:val="00B92AA3"/>
    <w:rsid w:val="00BA4CA6"/>
    <w:rsid w:val="00BE6916"/>
    <w:rsid w:val="00BF15CF"/>
    <w:rsid w:val="00C4565E"/>
    <w:rsid w:val="00C800A8"/>
    <w:rsid w:val="00CF322B"/>
    <w:rsid w:val="00D06D6F"/>
    <w:rsid w:val="00D34CE6"/>
    <w:rsid w:val="00D66547"/>
    <w:rsid w:val="00D94B9C"/>
    <w:rsid w:val="00DA57FA"/>
    <w:rsid w:val="00DF601D"/>
    <w:rsid w:val="00E32701"/>
    <w:rsid w:val="00E468BB"/>
    <w:rsid w:val="00E469CA"/>
    <w:rsid w:val="00E50DC1"/>
    <w:rsid w:val="00E5371B"/>
    <w:rsid w:val="00E7167C"/>
    <w:rsid w:val="00F313FB"/>
    <w:rsid w:val="00F714FC"/>
    <w:rsid w:val="00FB2336"/>
    <w:rsid w:val="00FF76DB"/>
    <w:rsid w:val="00FF7724"/>
    <w:rsid w:val="3F7E1D9A"/>
    <w:rsid w:val="52030ACC"/>
    <w:rsid w:val="668966C1"/>
    <w:rsid w:val="7E353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rPr>
  </w:style>
  <w:style w:type="character" w:customStyle="1" w:styleId="18">
    <w:name w:val="批注框文本 Char"/>
    <w:link w:val="2"/>
    <w:semiHidden/>
    <w:qFormat/>
    <w:uiPriority w:val="0"/>
    <w:rPr>
      <w:rFonts w:ascii="Times New Roman" w:hAnsi="Times New Roman" w:eastAsia="宋体" w:cs="Times New Roman"/>
      <w:sz w:val="18"/>
      <w:szCs w:val="18"/>
    </w:rPr>
  </w:style>
  <w:style w:type="character" w:customStyle="1" w:styleId="19">
    <w:name w:val="页眉 字符1"/>
    <w:qFormat/>
    <w:uiPriority w:val="0"/>
    <w:rPr>
      <w:rFonts w:ascii="Times New Roman" w:hAnsi="Times New Roman" w:eastAsia="宋体" w:cs="Times New Roman"/>
      <w:sz w:val="18"/>
      <w:szCs w:val="18"/>
    </w:rPr>
  </w:style>
  <w:style w:type="character" w:customStyle="1" w:styleId="20">
    <w:name w:val="正文文本缩进 3 Char"/>
    <w:link w:val="5"/>
    <w:qFormat/>
    <w:uiPriority w:val="0"/>
    <w:rPr>
      <w:rFonts w:ascii="Times New Roman" w:hAnsi="Times New Roman" w:eastAsia="仿宋_GB2312" w:cs="Times New Roman"/>
      <w:sz w:val="32"/>
      <w:szCs w:val="24"/>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137F69-988E-4933-AA3F-4C01B9E19BD5}">
  <ds:schemaRefs/>
</ds:datastoreItem>
</file>

<file path=docProps/app.xml><?xml version="1.0" encoding="utf-8"?>
<Properties xmlns="http://schemas.openxmlformats.org/officeDocument/2006/extended-properties" xmlns:vt="http://schemas.openxmlformats.org/officeDocument/2006/docPropsVTypes">
  <Template>Normal</Template>
  <Pages>29</Pages>
  <Words>2251</Words>
  <Characters>12837</Characters>
  <Lines>106</Lines>
  <Paragraphs>30</Paragraphs>
  <TotalTime>59</TotalTime>
  <ScaleCrop>false</ScaleCrop>
  <LinksUpToDate>false</LinksUpToDate>
  <CharactersWithSpaces>15058</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2020-01-19T02:17:00Z</dcterms:created>
  <dc:creator>穆斯塔帕</dc:creator>
  <cp:lastModifiedBy>Administrator</cp:lastModifiedBy>
  <cp:lastPrinted>2020-11-26T05:05:00Z</cp:lastPrinted>
  <dcterms:modified xsi:type="dcterms:W3CDTF">2021-05-19T11:24:03Z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