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克州人民检察院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*部门单位概况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*年部门预算公开表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  <w:bookmarkStart w:id="0" w:name="_GoBack"/>
      <w:bookmarkEnd w:id="0"/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*年部门预算情况说明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克州人民检察院2020年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克州人民检察院2020年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克州人民检察院2020年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克州人民检察院2020年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克州人民检察院2020年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克州人民检察院2020年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克州人民检察院2020年</w:t>
      </w:r>
      <w:r>
        <w:rPr>
          <w:rFonts w:hint="eastAsia" w:ascii="仿宋_GB2312" w:hAnsi="宋体" w:eastAsia="仿宋_GB2312"/>
          <w:kern w:val="0"/>
          <w:sz w:val="32"/>
          <w:szCs w:val="32"/>
        </w:rPr>
        <w:t>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克州人民检察院2020年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克州人民检察院2020年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pStyle w:val="2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/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克州人民检察院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ind w:left="640" w:leftChars="0" w:firstLine="0" w:firstLineChars="0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主要职能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克州检察院作为全州检察系统主管院，肩负着全州检察系统宏观调控工作，其主要工作职责：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（一）</w:t>
      </w:r>
      <w:r>
        <w:rPr>
          <w:rFonts w:hint="eastAsia" w:eastAsia="仿宋_GB2312"/>
          <w:kern w:val="0"/>
          <w:sz w:val="32"/>
          <w:szCs w:val="32"/>
          <w:lang w:eastAsia="zh-CN"/>
        </w:rPr>
        <w:t>深入贯彻习近平新时代中国特色社会主义思想，深入贯彻党的路线方针政策和决策部署，统一全州检察机关思想和行动，坚持党对检察工作的绝对领导，坚决维护习近平总书记的核心地位，坚决维护党中央权威和集中统一领导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（二）依法向自治州人民代表大会及其常务委员会提出议案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接受自治州人民代表大会及自治州人民代表大会常务委员会的监督。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（三）领导全州检察机关的工作，</w:t>
      </w:r>
      <w:r>
        <w:rPr>
          <w:rFonts w:hint="eastAsia" w:eastAsia="仿宋_GB2312"/>
          <w:kern w:val="0"/>
          <w:sz w:val="32"/>
          <w:szCs w:val="32"/>
          <w:lang w:eastAsia="zh-CN"/>
        </w:rPr>
        <w:t>对下级检察院相关业务进行指导，</w:t>
      </w:r>
      <w:r>
        <w:rPr>
          <w:rFonts w:hint="eastAsia" w:eastAsia="仿宋_GB2312"/>
          <w:kern w:val="0"/>
          <w:sz w:val="32"/>
          <w:szCs w:val="32"/>
        </w:rPr>
        <w:t>贯彻检察工作方针，部署检察工作任务。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（四）依</w:t>
      </w:r>
      <w:r>
        <w:rPr>
          <w:rFonts w:hint="eastAsia" w:eastAsia="仿宋_GB2312"/>
          <w:kern w:val="0"/>
          <w:sz w:val="32"/>
          <w:szCs w:val="32"/>
          <w:lang w:eastAsia="zh-CN"/>
        </w:rPr>
        <w:t>照法律规定对由自治州人民检察院直接受理的刑事案件行使侦查权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（五）</w:t>
      </w:r>
      <w:r>
        <w:rPr>
          <w:rFonts w:hint="eastAsia" w:eastAsia="仿宋_GB2312"/>
          <w:kern w:val="0"/>
          <w:sz w:val="32"/>
          <w:szCs w:val="32"/>
        </w:rPr>
        <w:t>对自治州重大刑事犯罪案件依法审查批准逮捕、决定逮捕、提起公诉</w:t>
      </w:r>
      <w:r>
        <w:rPr>
          <w:rFonts w:hint="eastAsia" w:eastAsia="仿宋_GB2312"/>
          <w:kern w:val="0"/>
          <w:sz w:val="32"/>
          <w:szCs w:val="32"/>
          <w:lang w:eastAsia="zh-CN"/>
        </w:rPr>
        <w:t>，领导下级人民检察院开展对刑事犯罪案件的审查批准逮捕、</w:t>
      </w:r>
      <w:r>
        <w:rPr>
          <w:rFonts w:hint="eastAsia" w:eastAsia="仿宋_GB2312"/>
          <w:kern w:val="0"/>
          <w:sz w:val="32"/>
          <w:szCs w:val="32"/>
        </w:rPr>
        <w:t>决定逮捕、提起公诉</w:t>
      </w:r>
      <w:r>
        <w:rPr>
          <w:rFonts w:hint="eastAsia" w:eastAsia="仿宋_GB2312"/>
          <w:kern w:val="0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（六）</w:t>
      </w:r>
      <w:r>
        <w:rPr>
          <w:rFonts w:hint="eastAsia" w:eastAsia="仿宋_GB2312"/>
          <w:kern w:val="0"/>
          <w:sz w:val="32"/>
          <w:szCs w:val="32"/>
          <w:lang w:eastAsia="zh-CN"/>
        </w:rPr>
        <w:t>负责应由自治州人民检察院承办的刑事、民事、行政诉讼活动及刑事、民事、行政判决和裁定等生效法律文书执行的法律监督工作，领导下级人民检察院对刑事、民事、行政诉讼活动及判决和裁定等生效法律执行的法律监督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（七）负责应由自治州人民检察院承办的提起公益诉讼工作，领导下级人民检察院开展提起公益诉讼工作。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八）负责应由自治州人民检察院承办的对监狱、看守所、社区矫正机构和职业技能教育培训等执法活动的法律监督工作，领导下级人民检察院开展对监狱、看守所、社区矫正机构和职业技能教育培训等执法活动的法律监督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（九）受理向自治州人民检察院的控告申诉，领导下级人民检察院的控告申诉检察工作。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（十）对下级人民检察院在行使检察权中作出的决定进行审查，纠正错误决定。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（十</w:t>
      </w:r>
      <w:r>
        <w:rPr>
          <w:rFonts w:hint="eastAsia" w:eastAsia="仿宋_GB2312"/>
          <w:kern w:val="0"/>
          <w:sz w:val="32"/>
          <w:szCs w:val="32"/>
          <w:lang w:eastAsia="zh-CN"/>
        </w:rPr>
        <w:t>一</w:t>
      </w:r>
      <w:r>
        <w:rPr>
          <w:rFonts w:hint="eastAsia" w:eastAsia="仿宋_GB2312"/>
          <w:kern w:val="0"/>
          <w:sz w:val="32"/>
          <w:szCs w:val="32"/>
        </w:rPr>
        <w:t>）对检察工作中具体应用法律问题进行研究，进行请示和答复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指导全州检察机关理论研究工作。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（十二）负责自治州检察机关队伍建设和思想政治工作。领导下级人民检察院依法管理检察官及其他检察人员的工作，协同下级主管部门管理人民检察院的机构设置及人员编制，制定相关人员管理办法。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（十三）</w:t>
      </w:r>
      <w:r>
        <w:rPr>
          <w:rFonts w:hint="eastAsia" w:eastAsia="仿宋_GB2312"/>
          <w:kern w:val="0"/>
          <w:sz w:val="32"/>
          <w:szCs w:val="32"/>
        </w:rPr>
        <w:t>依照有关规定，协同自治州党委主管部门管理和考核本</w:t>
      </w:r>
      <w:r>
        <w:rPr>
          <w:rFonts w:hint="eastAsia" w:eastAsia="仿宋_GB2312"/>
          <w:kern w:val="0"/>
          <w:sz w:val="32"/>
          <w:szCs w:val="32"/>
          <w:lang w:eastAsia="zh-CN"/>
        </w:rPr>
        <w:t>级</w:t>
      </w:r>
      <w:r>
        <w:rPr>
          <w:rFonts w:hint="eastAsia" w:eastAsia="仿宋_GB2312"/>
          <w:kern w:val="0"/>
          <w:sz w:val="32"/>
          <w:szCs w:val="32"/>
        </w:rPr>
        <w:t>院的</w:t>
      </w:r>
      <w:r>
        <w:rPr>
          <w:rFonts w:hint="eastAsia" w:eastAsia="仿宋_GB2312"/>
          <w:kern w:val="0"/>
          <w:sz w:val="32"/>
          <w:szCs w:val="32"/>
          <w:lang w:eastAsia="zh-CN"/>
        </w:rPr>
        <w:t>院领导和其他检察人员，</w:t>
      </w:r>
      <w:r>
        <w:rPr>
          <w:rFonts w:hint="eastAsia" w:eastAsia="仿宋_GB2312"/>
          <w:kern w:val="0"/>
          <w:sz w:val="32"/>
          <w:szCs w:val="32"/>
        </w:rPr>
        <w:t>协同自治州党委主管部门、地方党委管理和考核</w:t>
      </w:r>
      <w:r>
        <w:rPr>
          <w:rFonts w:hint="eastAsia" w:eastAsia="仿宋_GB2312"/>
          <w:kern w:val="0"/>
          <w:sz w:val="32"/>
          <w:szCs w:val="32"/>
          <w:lang w:eastAsia="zh-CN"/>
        </w:rPr>
        <w:t>下级</w:t>
      </w:r>
      <w:r>
        <w:rPr>
          <w:rFonts w:hint="eastAsia" w:eastAsia="仿宋_GB2312"/>
          <w:kern w:val="0"/>
          <w:sz w:val="32"/>
          <w:szCs w:val="32"/>
        </w:rPr>
        <w:t>人民检察院的检察长、副检察长；提请自治州人民代表大会常务委员会批准任免本</w:t>
      </w:r>
      <w:r>
        <w:rPr>
          <w:rFonts w:hint="eastAsia" w:eastAsia="仿宋_GB2312"/>
          <w:kern w:val="0"/>
          <w:sz w:val="32"/>
          <w:szCs w:val="32"/>
          <w:lang w:eastAsia="zh-CN"/>
        </w:rPr>
        <w:t>级</w:t>
      </w:r>
      <w:r>
        <w:rPr>
          <w:rFonts w:hint="eastAsia" w:eastAsia="仿宋_GB2312"/>
          <w:kern w:val="0"/>
          <w:sz w:val="32"/>
          <w:szCs w:val="32"/>
        </w:rPr>
        <w:t>院检委会委员、检察员以及</w:t>
      </w:r>
      <w:r>
        <w:rPr>
          <w:rFonts w:hint="eastAsia" w:eastAsia="仿宋_GB2312"/>
          <w:kern w:val="0"/>
          <w:sz w:val="32"/>
          <w:szCs w:val="32"/>
          <w:lang w:eastAsia="zh-CN"/>
        </w:rPr>
        <w:t>下级</w:t>
      </w:r>
      <w:r>
        <w:rPr>
          <w:rFonts w:hint="eastAsia" w:eastAsia="仿宋_GB2312"/>
          <w:kern w:val="0"/>
          <w:sz w:val="32"/>
          <w:szCs w:val="32"/>
        </w:rPr>
        <w:t>人民检察院检察长；建议自治州人民代表大会常务委员会撤换本级院检委会委员、检察员以及</w:t>
      </w:r>
      <w:r>
        <w:rPr>
          <w:rFonts w:hint="eastAsia" w:eastAsia="仿宋_GB2312"/>
          <w:kern w:val="0"/>
          <w:sz w:val="32"/>
          <w:szCs w:val="32"/>
          <w:lang w:eastAsia="zh-CN"/>
        </w:rPr>
        <w:t>下级</w:t>
      </w:r>
      <w:r>
        <w:rPr>
          <w:rFonts w:hint="eastAsia" w:eastAsia="仿宋_GB2312"/>
          <w:kern w:val="0"/>
          <w:sz w:val="32"/>
          <w:szCs w:val="32"/>
        </w:rPr>
        <w:t>人民检察院检察长。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（十四）领导下级人民检察院的检务督察工作。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（十</w:t>
      </w:r>
      <w:r>
        <w:rPr>
          <w:rFonts w:hint="eastAsia" w:eastAsia="仿宋_GB2312"/>
          <w:kern w:val="0"/>
          <w:sz w:val="32"/>
          <w:szCs w:val="32"/>
          <w:lang w:eastAsia="zh-CN"/>
        </w:rPr>
        <w:t>五</w:t>
      </w:r>
      <w:r>
        <w:rPr>
          <w:rFonts w:hint="eastAsia" w:eastAsia="仿宋_GB2312"/>
          <w:kern w:val="0"/>
          <w:sz w:val="32"/>
          <w:szCs w:val="32"/>
        </w:rPr>
        <w:t>）负责全州检察</w:t>
      </w:r>
      <w:r>
        <w:rPr>
          <w:rFonts w:hint="eastAsia" w:eastAsia="仿宋_GB2312"/>
          <w:kern w:val="0"/>
          <w:sz w:val="32"/>
          <w:szCs w:val="32"/>
          <w:lang w:eastAsia="zh-CN"/>
        </w:rPr>
        <w:t>机关</w:t>
      </w:r>
      <w:r>
        <w:rPr>
          <w:rFonts w:hint="eastAsia" w:eastAsia="仿宋_GB2312"/>
          <w:kern w:val="0"/>
          <w:sz w:val="32"/>
          <w:szCs w:val="32"/>
        </w:rPr>
        <w:t>教育培训工作。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（十六）规划和指导全州检察机关的财务装备工作，指导全州检察机关的检察技术信息工作。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（十七）负责其他应当由自治州人民检察院承办的事项。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详细介绍本部门单位工作职能。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</w:rPr>
        <w:t>情况一：有下属预算单位按以下内容说明：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从预算单位构成看，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克州人民检察院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的部门预算包括：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克州人民检察院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本级预算及下属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家预算单位在内的汇总预算。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克州人民检察院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个处室，分别是：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办公室、政治部、检务督察部、行政装备处、法警支队、第一检察部、第二检察部、第三检察部、第四检察部、第五检察部、第六检察部、综合检察部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本部门中，行政单位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家，事业单位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家，纳入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克州人民检察院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年部门预算编制范围的二级预算单位包括：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1.（列下属单位名称）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克州人民检察院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人，其中：在职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（聘用书记员）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情况二：</w:t>
      </w: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</w:rPr>
        <w:t>无下属预算单位按以下内容说明：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克州人民检察院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处室，分别是：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克州人民检察院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kern w:val="0"/>
          <w:sz w:val="32"/>
          <w:szCs w:val="32"/>
        </w:rPr>
      </w:pPr>
    </w:p>
    <w:p/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克孜勒苏柯尔克孜自治州人民检察院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单位：万元</w:t>
      </w:r>
    </w:p>
    <w:tbl>
      <w:tblPr>
        <w:tblStyle w:val="11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1814.13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1063.13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1814.13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275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1350.13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1814.13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464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1814.13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1814.13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：克孜勒苏柯尔克孜自治州人民检察院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单位：万元</w:t>
      </w:r>
    </w:p>
    <w:tbl>
      <w:tblPr>
        <w:tblStyle w:val="11"/>
        <w:tblW w:w="11030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480"/>
        <w:gridCol w:w="220"/>
        <w:gridCol w:w="230"/>
        <w:gridCol w:w="1100"/>
        <w:gridCol w:w="1150"/>
        <w:gridCol w:w="1125"/>
        <w:gridCol w:w="405"/>
        <w:gridCol w:w="495"/>
        <w:gridCol w:w="373"/>
        <w:gridCol w:w="827"/>
        <w:gridCol w:w="12"/>
        <w:gridCol w:w="487"/>
        <w:gridCol w:w="4"/>
        <w:gridCol w:w="705"/>
        <w:gridCol w:w="4"/>
        <w:gridCol w:w="1098"/>
        <w:gridCol w:w="12"/>
        <w:gridCol w:w="346"/>
        <w:gridCol w:w="4"/>
        <w:gridCol w:w="1398"/>
        <w:gridCol w:w="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2868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  <w:lang w:val="en-US" w:eastAsia="zh-CN"/>
              </w:rPr>
              <w:t>204</w:t>
            </w:r>
            <w:r>
              <w:rPr>
                <w:rFonts w:hint="eastAsia" w:ascii="仿宋_GB2312" w:eastAsia="仿宋_GB2312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  <w:lang w:val="en-US" w:eastAsia="zh-CN"/>
              </w:rPr>
              <w:t>04</w:t>
            </w:r>
            <w:r>
              <w:rPr>
                <w:rFonts w:hint="eastAsia" w:ascii="仿宋_GB2312" w:eastAsia="仿宋_GB2312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  <w:lang w:eastAsia="zh-CN"/>
              </w:rPr>
              <w:t>行政运行（检察）</w:t>
            </w:r>
            <w:r>
              <w:rPr>
                <w:rFonts w:hint="eastAsia" w:ascii="仿宋_GB2312" w:eastAsia="仿宋_GB2312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1814.13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1063.13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275</w:t>
            </w:r>
          </w:p>
        </w:tc>
        <w:tc>
          <w:tcPr>
            <w:tcW w:w="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default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  <w:t>464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1814.13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1063.13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275</w:t>
            </w:r>
          </w:p>
        </w:tc>
        <w:tc>
          <w:tcPr>
            <w:tcW w:w="5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3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val="en-US" w:eastAsia="zh-CN"/>
              </w:rPr>
              <w:t>464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克孜勒苏柯尔克孜自治州人民检察院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单位：万元</w:t>
      </w:r>
    </w:p>
    <w:tbl>
      <w:tblPr>
        <w:tblStyle w:val="11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405"/>
        <w:gridCol w:w="405"/>
        <w:gridCol w:w="2534"/>
        <w:gridCol w:w="1855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204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行政运行（检察）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1814.13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1802.13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1814.13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1802.13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克孜勒苏柯尔克孜自治州人民检察院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单位：万元</w:t>
      </w:r>
    </w:p>
    <w:tbl>
      <w:tblPr>
        <w:tblStyle w:val="11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86"/>
        <w:gridCol w:w="2224"/>
        <w:gridCol w:w="1418"/>
        <w:gridCol w:w="1443"/>
        <w:gridCol w:w="11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2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1063.13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18141313.61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18141313.61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1063.13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1063.13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1063.13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1063.13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1063.13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1063.13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11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530"/>
        <w:gridCol w:w="2397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克孜勒苏柯尔克孜自治州民检察院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3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  <w:t>行政运行（检察）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1063.13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1051.13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1063.13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1051.13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11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67"/>
        <w:gridCol w:w="270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克州人民检察院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20404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行政运行（检察）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1051.13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966.83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84.3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268.98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268.98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71.52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71.52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43.61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43.61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374.92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374.92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61.09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61.09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17.76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抚恤金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车辆运行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1051.13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966.83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84.3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11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453"/>
        <w:gridCol w:w="390"/>
        <w:gridCol w:w="435"/>
        <w:gridCol w:w="825"/>
        <w:gridCol w:w="1387"/>
        <w:gridCol w:w="860"/>
        <w:gridCol w:w="459"/>
        <w:gridCol w:w="834"/>
        <w:gridCol w:w="354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克孜勒苏柯尔克孜自治州人民检察院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46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2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204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04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01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eastAsia="zh-CN"/>
              </w:rPr>
              <w:t>行政运行（检察）</w:t>
            </w:r>
          </w:p>
        </w:tc>
        <w:tc>
          <w:tcPr>
            <w:tcW w:w="138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3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204</w:t>
            </w: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04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01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行政运行（检察）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群众工作经费</w:t>
            </w:r>
          </w:p>
        </w:tc>
        <w:tc>
          <w:tcPr>
            <w:tcW w:w="86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12</w:t>
            </w:r>
          </w:p>
        </w:tc>
        <w:tc>
          <w:tcPr>
            <w:tcW w:w="45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3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3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8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3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8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3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8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3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8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3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8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3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8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3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8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3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8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3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8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83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12</w:t>
            </w:r>
          </w:p>
        </w:tc>
        <w:tc>
          <w:tcPr>
            <w:tcW w:w="35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both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克孜勒苏柯尔克孜自治州人民检察院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单位：万元</w:t>
      </w:r>
    </w:p>
    <w:tbl>
      <w:tblPr>
        <w:tblStyle w:val="11"/>
        <w:tblW w:w="9087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208"/>
        <w:gridCol w:w="1208"/>
        <w:gridCol w:w="1329"/>
        <w:gridCol w:w="1209"/>
        <w:gridCol w:w="1329"/>
        <w:gridCol w:w="1"/>
        <w:gridCol w:w="1459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4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10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92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3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3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克孜勒苏柯尔克孜自治州人民检察院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单位：万元</w:t>
      </w:r>
    </w:p>
    <w:tbl>
      <w:tblPr>
        <w:tblStyle w:val="11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204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5"/>
                <w:szCs w:val="15"/>
                <w:lang w:val="en-US" w:eastAsia="zh-CN"/>
              </w:rPr>
              <w:t>04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5"/>
                <w:szCs w:val="15"/>
                <w:lang w:val="en-US" w:eastAsia="zh-CN"/>
              </w:rPr>
              <w:t>01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eastAsia="zh-CN"/>
              </w:rPr>
              <w:t>行政运行（检察）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克州人民检察院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克州人民检察院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1814.13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1063.13万元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、政府性基金预算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、教育收费（财政专户）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、事业收入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、事业单位经营收入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上级补助收入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275万元、上级专项收入12万元、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用事业基金弥补收支差额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、单位上年结余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（不包括国库集中支付额度结余）等。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1814.13万元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（按照“部门预算公开表一 部门收支总体情况表”</w:t>
      </w:r>
      <w:r>
        <w:rPr>
          <w:rFonts w:hint="eastAsia"/>
          <w:b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中所列项目，结合部门实际情况填写，多余科目应删除。）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克州人民检察院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克州人民检察院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1814.13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万元，其中：一般公共预算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1061.13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2020年增加新招录书记员11人工资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上级补助收入资金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275万元，占15%，和去年一样；上级专项收入12万元，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占0.6%，和去年一样；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政府性基金预算未安排。或万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 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highlight w:val="none"/>
          <w:lang w:val="en-US" w:eastAsia="zh-CN"/>
        </w:rPr>
        <w:t>2020年未安排政府性基金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2019年项目工程未实施完成，资金未支付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（按部门预算公开表二 部门收入总体情况表逐项说明</w:t>
      </w:r>
      <w:r>
        <w:rPr>
          <w:rFonts w:hint="eastAsia" w:ascii="仿宋_GB2312" w:eastAsia="仿宋_GB2312"/>
          <w:b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结合部门实际情况填写，多余科目应删除，政府性基金除外。）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克州人民检察院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克州人民检察院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1814.13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1061.13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131.72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            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1802.13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609.28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2019年项目工程未实施完成，项目款未支付，2019年新增书记员11人工资支出增加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pStyle w:val="2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上级专项收入支出12万元，占0.6%，和去年拨款数一样。</w:t>
      </w:r>
    </w:p>
    <w:p>
      <w:pPr>
        <w:spacing w:line="560" w:lineRule="exact"/>
        <w:ind w:firstLine="619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spacing w:val="-6"/>
          <w:kern w:val="0"/>
          <w:sz w:val="32"/>
          <w:szCs w:val="32"/>
        </w:rPr>
        <w:t>（按部门预算公开表三 部门支出总体情况表进行说明。）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克州检察院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1814.13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27" w:firstLineChars="200"/>
        <w:rPr>
          <w:rFonts w:ascii="仿宋_GB2312" w:hAnsi="宋体" w:eastAsia="仿宋_GB2312" w:cs="宋体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spacing w:val="-4"/>
          <w:kern w:val="0"/>
          <w:sz w:val="32"/>
          <w:szCs w:val="32"/>
        </w:rPr>
        <w:t>情况一：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无政府性基金预算拨款的部门单位按以下格式填写</w:t>
      </w:r>
      <w:r>
        <w:rPr>
          <w:rFonts w:hint="eastAsia" w:ascii="仿宋_GB2312" w:hAnsi="宋体" w:eastAsia="仿宋_GB2312" w:cs="宋体"/>
          <w:b/>
          <w:spacing w:val="-4"/>
          <w:kern w:val="0"/>
          <w:sz w:val="32"/>
          <w:szCs w:val="32"/>
        </w:rPr>
        <w:t>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1063.13万元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，无政府性基金预算拨款。</w:t>
      </w:r>
    </w:p>
    <w:p>
      <w:pPr>
        <w:spacing w:line="560" w:lineRule="exact"/>
        <w:ind w:firstLine="627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spacing w:val="-4"/>
          <w:kern w:val="0"/>
          <w:sz w:val="32"/>
          <w:szCs w:val="32"/>
        </w:rPr>
        <w:t>情况二：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有政府性基金预算拨款的部门单位按以下格式填写。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万元，政府性基金预算拨款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于无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（按部门预算公开表四  财政拨款收支总体情况表功能分类款级科目逐项说明。）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克州人民检察院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克州人民检察院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年一般公共预算拨款基本支出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1051.13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2019年新增书记员11人增资。上级专项收入12万元，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%。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1051.13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按照部门预算公开表五  一般公共预算支出情况表“一般公共预算支出”功能分类科目类级科目</w:t>
      </w:r>
      <w:r>
        <w:rPr>
          <w:rFonts w:hint="eastAsia" w:ascii="仿宋_GB2312" w:eastAsia="仿宋_GB2312"/>
          <w:b/>
          <w:sz w:val="32"/>
          <w:szCs w:val="32"/>
        </w:rPr>
        <w:t>逐项说明。）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一般公共服务（类）财政事务（款）行政运行（项）: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1061.13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2020年新增书记员11人增资。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（按照部门预算公开表二  部门收入总体情况表中“一般公共预算拨款”功能分类科目项级科目逐项说明。）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克州人民检察院2020年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克州人民检察院2020年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一般公共预算基本支出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1051.13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966.83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268.98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374.92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90.12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万元、职工基本医疗保险缴费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61.09万元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43.61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万元、抚恤金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个人取暖费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17.76万元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84.3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万元、劳务费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、办公大楼取暖费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（按部门预算公开表六  一般公共预算基本支出表中实际发生经济分类科目名称填写，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多余科目应删除）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克州人民检察院2020年</w:t>
      </w:r>
      <w:r>
        <w:rPr>
          <w:rFonts w:hint="eastAsia" w:ascii="黑体" w:hAnsi="宋体" w:eastAsia="黑体" w:cs="宋体"/>
          <w:kern w:val="0"/>
          <w:sz w:val="32"/>
          <w:szCs w:val="32"/>
        </w:rPr>
        <w:t>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14141"/>
          <w:kern w:val="0"/>
          <w:sz w:val="32"/>
          <w:szCs w:val="32"/>
        </w:rPr>
        <w:t>设立的政策依据：按照《关于进一步加强和改进“访惠聚”驻村（社区）工作的意见》（克党办发【2017】51）号。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14141"/>
          <w:kern w:val="0"/>
          <w:sz w:val="32"/>
          <w:szCs w:val="32"/>
        </w:rPr>
        <w:t>预算安排规模：</w:t>
      </w:r>
      <w:r>
        <w:rPr>
          <w:rFonts w:hint="eastAsia" w:ascii="仿宋" w:hAnsi="仿宋" w:eastAsia="仿宋" w:cs="仿宋"/>
          <w:color w:val="414141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414141"/>
          <w:kern w:val="0"/>
          <w:sz w:val="32"/>
          <w:szCs w:val="32"/>
        </w:rPr>
        <w:t>万元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color w:val="414141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414141"/>
          <w:kern w:val="0"/>
          <w:sz w:val="32"/>
          <w:szCs w:val="32"/>
        </w:rPr>
        <w:t>项目承担单位：</w:t>
      </w:r>
      <w:r>
        <w:rPr>
          <w:rFonts w:hint="eastAsia" w:ascii="仿宋" w:hAnsi="仿宋" w:eastAsia="仿宋" w:cs="仿宋"/>
          <w:color w:val="414141"/>
          <w:kern w:val="0"/>
          <w:sz w:val="32"/>
          <w:szCs w:val="32"/>
          <w:lang w:eastAsia="zh-CN"/>
        </w:rPr>
        <w:t>克州人民检察院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14141"/>
          <w:kern w:val="0"/>
          <w:sz w:val="32"/>
          <w:szCs w:val="32"/>
        </w:rPr>
        <w:t>资金分配情况：用于我单位</w:t>
      </w:r>
      <w:r>
        <w:rPr>
          <w:rFonts w:hint="eastAsia" w:ascii="仿宋" w:hAnsi="仿宋" w:eastAsia="仿宋" w:cs="仿宋"/>
          <w:color w:val="414141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414141"/>
          <w:kern w:val="0"/>
          <w:sz w:val="32"/>
          <w:szCs w:val="32"/>
        </w:rPr>
        <w:t>年度群众工作点为阿图什市</w:t>
      </w:r>
      <w:r>
        <w:rPr>
          <w:rFonts w:hint="eastAsia" w:ascii="仿宋" w:hAnsi="仿宋" w:eastAsia="仿宋" w:cs="仿宋"/>
          <w:color w:val="414141"/>
          <w:kern w:val="0"/>
          <w:sz w:val="32"/>
          <w:szCs w:val="32"/>
          <w:lang w:eastAsia="zh-CN"/>
        </w:rPr>
        <w:t>吐古买提乡库鲁木都克村</w:t>
      </w:r>
      <w:r>
        <w:rPr>
          <w:rFonts w:hint="eastAsia" w:ascii="仿宋" w:hAnsi="仿宋" w:eastAsia="仿宋" w:cs="仿宋"/>
          <w:color w:val="414141"/>
          <w:kern w:val="0"/>
          <w:sz w:val="32"/>
          <w:szCs w:val="32"/>
        </w:rPr>
        <w:t>开展为民服务各项开支。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14141"/>
          <w:kern w:val="0"/>
          <w:sz w:val="32"/>
          <w:szCs w:val="32"/>
        </w:rPr>
        <w:t>资金执行时间：20</w:t>
      </w:r>
      <w:r>
        <w:rPr>
          <w:rFonts w:hint="eastAsia" w:ascii="仿宋" w:hAnsi="仿宋" w:eastAsia="仿宋" w:cs="仿宋"/>
          <w:color w:val="414141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414141"/>
          <w:kern w:val="0"/>
          <w:sz w:val="32"/>
          <w:szCs w:val="32"/>
        </w:rPr>
        <w:t>年全年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克州人民检察院2020年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克州人民检察院2020年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万元，其中：因公出国（境）费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，安排预算。[或公务用车购置费增加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用于单位公务用车加油款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无变动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克州人民检察院2020年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政府性基金预算拨款情况说明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克州检察院2019年没有使用政府性基金预算拨款安排的支出，政府性基金预算支出情况表为空表。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克州检察院本级及下属0家行政单位、0家参公管理事业单位和0家事业单位的机关运行经费财政拨款预算0万元，比上年预算减少0万元，下降0%。主要原因是无。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1814.13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万元，增长（下降）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2019年新增书记员11人增资。2是项目工程为完工，资金未支出，结余项目资金较大。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克州人民检察院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 xml:space="preserve">年度本部门面向中小企业预留政府采购项目预算金额   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 xml:space="preserve">万元，其中：面向小微企业预留政府采购项目预算金额  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 xml:space="preserve">  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（三）国有资产占用使用情况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克州人民检察院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3491.01万元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1.房屋 7013.31平方米，价值1880.43万元。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2.车辆16辆，价值358.54万元；其中：一般公务用车4辆，价值50.37万元；执法执勤用车8辆，价值206.79万元；其他车辆4 辆，价值101.38万元。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3、办公家具价值147.77万元。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4.其他资产价值 1104.27万元。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单位价值50万元以上大型设备2台（套）。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2020年部门预算未安排购置车辆经费（或安排购置车辆经费 万元），安排购置50万元以上大型设备 0台（套），单位价值100万元以上大型设备 0台（套）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年部门预算安排购置车辆经费（或安排购置车辆经费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11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克孜勒苏柯尔克孜自治州人民检察院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19万元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1.访惠聚驻村点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库鲁木都克村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开展群众工作经费。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2.通过开展群众工作，提升该村基层组织工作能力，改善村委会办公基础条件。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按大中小村不同标准，中村每村补助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开始时间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结束时间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开展群众工作补助人员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提升村干部工作效率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带动贫困人口增收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人均收入增收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提升基层组织服务意识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受益村民人口数量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2100余人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村委会环境改善程度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≥85%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群众满意度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%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1280" w:firstLineChars="4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无其他需要说明的事项。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20" w:lineRule="exact"/>
        <w:ind w:firstLine="640"/>
        <w:rPr>
          <w:rFonts w:ascii="仿宋_GB2312" w:eastAsia="仿宋_GB2312"/>
          <w:b/>
          <w:szCs w:val="20"/>
        </w:rPr>
      </w:pPr>
      <w:r>
        <w:rPr>
          <w:rFonts w:hint="eastAsia" w:ascii="仿宋_GB2312" w:eastAsia="仿宋_GB2312"/>
          <w:b/>
          <w:sz w:val="32"/>
          <w:szCs w:val="32"/>
        </w:rPr>
        <w:t>（各部门单位应根据部门预算公开表中对应的经费情况进行名词解释，对未涉及的名词应删除）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克孜勒苏柯尔克孜自治州人民检察院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B78F3E"/>
    <w:multiLevelType w:val="singleLevel"/>
    <w:tmpl w:val="E6B78F3E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2753E9"/>
    <w:rsid w:val="00324290"/>
    <w:rsid w:val="00387451"/>
    <w:rsid w:val="003D34E6"/>
    <w:rsid w:val="0041202C"/>
    <w:rsid w:val="00432267"/>
    <w:rsid w:val="00481CD5"/>
    <w:rsid w:val="005C42E0"/>
    <w:rsid w:val="008160EE"/>
    <w:rsid w:val="009D0AA2"/>
    <w:rsid w:val="00B22D8A"/>
    <w:rsid w:val="00C9538D"/>
    <w:rsid w:val="00D06D6F"/>
    <w:rsid w:val="00E469CA"/>
    <w:rsid w:val="00E7167C"/>
    <w:rsid w:val="010459B5"/>
    <w:rsid w:val="01247B94"/>
    <w:rsid w:val="012C2FC7"/>
    <w:rsid w:val="014452B6"/>
    <w:rsid w:val="014F78FF"/>
    <w:rsid w:val="0156060E"/>
    <w:rsid w:val="017105BB"/>
    <w:rsid w:val="01C256A5"/>
    <w:rsid w:val="01F82319"/>
    <w:rsid w:val="024D547B"/>
    <w:rsid w:val="02B81B75"/>
    <w:rsid w:val="031D4AC5"/>
    <w:rsid w:val="034140FA"/>
    <w:rsid w:val="038C396A"/>
    <w:rsid w:val="03B90DA3"/>
    <w:rsid w:val="03D124F8"/>
    <w:rsid w:val="03DA02DD"/>
    <w:rsid w:val="040B5769"/>
    <w:rsid w:val="049E4A27"/>
    <w:rsid w:val="04D95B37"/>
    <w:rsid w:val="050D393A"/>
    <w:rsid w:val="05C67F27"/>
    <w:rsid w:val="05DA78DC"/>
    <w:rsid w:val="06801E23"/>
    <w:rsid w:val="06872D30"/>
    <w:rsid w:val="07540E04"/>
    <w:rsid w:val="076B028B"/>
    <w:rsid w:val="07A05BE9"/>
    <w:rsid w:val="07B24036"/>
    <w:rsid w:val="07C92A3B"/>
    <w:rsid w:val="07F0593C"/>
    <w:rsid w:val="08034F46"/>
    <w:rsid w:val="085E5690"/>
    <w:rsid w:val="087B189F"/>
    <w:rsid w:val="08877654"/>
    <w:rsid w:val="08907106"/>
    <w:rsid w:val="09996662"/>
    <w:rsid w:val="09D46550"/>
    <w:rsid w:val="0A040CDE"/>
    <w:rsid w:val="0AAC1921"/>
    <w:rsid w:val="0B2F3397"/>
    <w:rsid w:val="0B922D03"/>
    <w:rsid w:val="0BB15401"/>
    <w:rsid w:val="0BB920D8"/>
    <w:rsid w:val="0C526D26"/>
    <w:rsid w:val="0C7C30D5"/>
    <w:rsid w:val="0D1451E6"/>
    <w:rsid w:val="0D333BF6"/>
    <w:rsid w:val="0E1F29F6"/>
    <w:rsid w:val="0E3F6C4D"/>
    <w:rsid w:val="0E552439"/>
    <w:rsid w:val="0E6C4BDD"/>
    <w:rsid w:val="0E746BDF"/>
    <w:rsid w:val="0E763927"/>
    <w:rsid w:val="0EF41929"/>
    <w:rsid w:val="0F322895"/>
    <w:rsid w:val="0F3F0E8D"/>
    <w:rsid w:val="0F7050E8"/>
    <w:rsid w:val="0F8D1F54"/>
    <w:rsid w:val="0FB80D32"/>
    <w:rsid w:val="10356295"/>
    <w:rsid w:val="104F7166"/>
    <w:rsid w:val="10755C7A"/>
    <w:rsid w:val="107D5B33"/>
    <w:rsid w:val="11381249"/>
    <w:rsid w:val="11836322"/>
    <w:rsid w:val="11AD2CAA"/>
    <w:rsid w:val="11AD5A36"/>
    <w:rsid w:val="11F11909"/>
    <w:rsid w:val="125273E0"/>
    <w:rsid w:val="12764408"/>
    <w:rsid w:val="129E18BD"/>
    <w:rsid w:val="12C47318"/>
    <w:rsid w:val="12E27DD5"/>
    <w:rsid w:val="12FB2771"/>
    <w:rsid w:val="13DD5911"/>
    <w:rsid w:val="141E549C"/>
    <w:rsid w:val="14B43B17"/>
    <w:rsid w:val="14DB010B"/>
    <w:rsid w:val="14F35F00"/>
    <w:rsid w:val="155F711F"/>
    <w:rsid w:val="157C40DC"/>
    <w:rsid w:val="15911578"/>
    <w:rsid w:val="15D95BD0"/>
    <w:rsid w:val="15F15FEA"/>
    <w:rsid w:val="16250D8A"/>
    <w:rsid w:val="166E2390"/>
    <w:rsid w:val="1671543A"/>
    <w:rsid w:val="174B738B"/>
    <w:rsid w:val="175C7171"/>
    <w:rsid w:val="176B1DF0"/>
    <w:rsid w:val="17731DE4"/>
    <w:rsid w:val="177C1366"/>
    <w:rsid w:val="17C432B0"/>
    <w:rsid w:val="17D6633D"/>
    <w:rsid w:val="18812C09"/>
    <w:rsid w:val="18C93AA8"/>
    <w:rsid w:val="19146BA7"/>
    <w:rsid w:val="191B2DD6"/>
    <w:rsid w:val="192A0DD6"/>
    <w:rsid w:val="193F0525"/>
    <w:rsid w:val="198249FB"/>
    <w:rsid w:val="19870386"/>
    <w:rsid w:val="19BC2B54"/>
    <w:rsid w:val="1A5F726A"/>
    <w:rsid w:val="1B01192E"/>
    <w:rsid w:val="1B075A29"/>
    <w:rsid w:val="1B1262F6"/>
    <w:rsid w:val="1B3B12DD"/>
    <w:rsid w:val="1B983486"/>
    <w:rsid w:val="1BAD0FDF"/>
    <w:rsid w:val="1BD80054"/>
    <w:rsid w:val="1C1E1A25"/>
    <w:rsid w:val="1C1F5159"/>
    <w:rsid w:val="1C356A6F"/>
    <w:rsid w:val="1C436454"/>
    <w:rsid w:val="1C8864F5"/>
    <w:rsid w:val="1C9028A2"/>
    <w:rsid w:val="1C927666"/>
    <w:rsid w:val="1CAF3352"/>
    <w:rsid w:val="1D296730"/>
    <w:rsid w:val="1D7E7F35"/>
    <w:rsid w:val="1D8D48AB"/>
    <w:rsid w:val="1DB430BA"/>
    <w:rsid w:val="1E2B6FD1"/>
    <w:rsid w:val="1E8229D1"/>
    <w:rsid w:val="1EB61ED4"/>
    <w:rsid w:val="1ED83F59"/>
    <w:rsid w:val="1F274550"/>
    <w:rsid w:val="1F3C723C"/>
    <w:rsid w:val="1FA86DFE"/>
    <w:rsid w:val="1FFB7542"/>
    <w:rsid w:val="20751D06"/>
    <w:rsid w:val="209A2D98"/>
    <w:rsid w:val="20AA1EF8"/>
    <w:rsid w:val="20C33B46"/>
    <w:rsid w:val="20E64171"/>
    <w:rsid w:val="20F16508"/>
    <w:rsid w:val="21181012"/>
    <w:rsid w:val="21445D6A"/>
    <w:rsid w:val="21992AC8"/>
    <w:rsid w:val="21AA2E48"/>
    <w:rsid w:val="220C6247"/>
    <w:rsid w:val="22641043"/>
    <w:rsid w:val="226A7D4A"/>
    <w:rsid w:val="226F0298"/>
    <w:rsid w:val="227B327C"/>
    <w:rsid w:val="22A217B6"/>
    <w:rsid w:val="22A61BBF"/>
    <w:rsid w:val="22D7776E"/>
    <w:rsid w:val="22EB6A19"/>
    <w:rsid w:val="230A5DAA"/>
    <w:rsid w:val="237B7619"/>
    <w:rsid w:val="23A30E11"/>
    <w:rsid w:val="240C0E40"/>
    <w:rsid w:val="2414543B"/>
    <w:rsid w:val="24164057"/>
    <w:rsid w:val="249A61AA"/>
    <w:rsid w:val="24F03CAC"/>
    <w:rsid w:val="25971EB5"/>
    <w:rsid w:val="25AB1EF0"/>
    <w:rsid w:val="25C4154A"/>
    <w:rsid w:val="25D75A26"/>
    <w:rsid w:val="260150CB"/>
    <w:rsid w:val="2682185D"/>
    <w:rsid w:val="269211E0"/>
    <w:rsid w:val="26C07977"/>
    <w:rsid w:val="275F0960"/>
    <w:rsid w:val="287D7F92"/>
    <w:rsid w:val="28C614FA"/>
    <w:rsid w:val="28D549F9"/>
    <w:rsid w:val="290722CB"/>
    <w:rsid w:val="291C6B0B"/>
    <w:rsid w:val="29231C16"/>
    <w:rsid w:val="29837FDA"/>
    <w:rsid w:val="29DE3B24"/>
    <w:rsid w:val="2A301193"/>
    <w:rsid w:val="2A4B11F8"/>
    <w:rsid w:val="2A5D3419"/>
    <w:rsid w:val="2A8B78BF"/>
    <w:rsid w:val="2AE2316C"/>
    <w:rsid w:val="2B030E24"/>
    <w:rsid w:val="2B1B1586"/>
    <w:rsid w:val="2B275499"/>
    <w:rsid w:val="2B4E28B9"/>
    <w:rsid w:val="2B7845A1"/>
    <w:rsid w:val="2BB07395"/>
    <w:rsid w:val="2BB326AB"/>
    <w:rsid w:val="2BD8503B"/>
    <w:rsid w:val="2CF1058C"/>
    <w:rsid w:val="2D372F95"/>
    <w:rsid w:val="2DF760FD"/>
    <w:rsid w:val="2E035578"/>
    <w:rsid w:val="2E0E699C"/>
    <w:rsid w:val="2E1C4383"/>
    <w:rsid w:val="2E36068D"/>
    <w:rsid w:val="2F5B29A3"/>
    <w:rsid w:val="2F714BA3"/>
    <w:rsid w:val="305A161B"/>
    <w:rsid w:val="307A0CB2"/>
    <w:rsid w:val="30874541"/>
    <w:rsid w:val="30B364F7"/>
    <w:rsid w:val="30FA24EF"/>
    <w:rsid w:val="31010A2D"/>
    <w:rsid w:val="31032902"/>
    <w:rsid w:val="31A77AA9"/>
    <w:rsid w:val="31B22CAA"/>
    <w:rsid w:val="31B45D90"/>
    <w:rsid w:val="31B860B5"/>
    <w:rsid w:val="328445EF"/>
    <w:rsid w:val="33572D75"/>
    <w:rsid w:val="3358644A"/>
    <w:rsid w:val="33B21806"/>
    <w:rsid w:val="34081E4F"/>
    <w:rsid w:val="34B30852"/>
    <w:rsid w:val="34BE40B7"/>
    <w:rsid w:val="34C02184"/>
    <w:rsid w:val="3503783C"/>
    <w:rsid w:val="35DB0DEE"/>
    <w:rsid w:val="35E64C09"/>
    <w:rsid w:val="35F2449F"/>
    <w:rsid w:val="36093303"/>
    <w:rsid w:val="365F3A31"/>
    <w:rsid w:val="36E114FC"/>
    <w:rsid w:val="37044907"/>
    <w:rsid w:val="37316A81"/>
    <w:rsid w:val="373E10C6"/>
    <w:rsid w:val="37530ACC"/>
    <w:rsid w:val="3758398B"/>
    <w:rsid w:val="37BE36AF"/>
    <w:rsid w:val="387728B5"/>
    <w:rsid w:val="389E523D"/>
    <w:rsid w:val="38BC09A6"/>
    <w:rsid w:val="38E234A7"/>
    <w:rsid w:val="38EA435B"/>
    <w:rsid w:val="39057822"/>
    <w:rsid w:val="390B2AD0"/>
    <w:rsid w:val="391A0E4A"/>
    <w:rsid w:val="398A3C1B"/>
    <w:rsid w:val="39E67181"/>
    <w:rsid w:val="3A316A26"/>
    <w:rsid w:val="3A343C7E"/>
    <w:rsid w:val="3A7B6EE7"/>
    <w:rsid w:val="3A9548FC"/>
    <w:rsid w:val="3AB93E53"/>
    <w:rsid w:val="3ABB6871"/>
    <w:rsid w:val="3AC675C7"/>
    <w:rsid w:val="3B667ED4"/>
    <w:rsid w:val="3B710DE0"/>
    <w:rsid w:val="3B914B6E"/>
    <w:rsid w:val="3BDC1501"/>
    <w:rsid w:val="3C3E026C"/>
    <w:rsid w:val="3C422070"/>
    <w:rsid w:val="3C8157FD"/>
    <w:rsid w:val="3CB34A05"/>
    <w:rsid w:val="3CB46349"/>
    <w:rsid w:val="3CB62121"/>
    <w:rsid w:val="3CFE5558"/>
    <w:rsid w:val="3D0100B2"/>
    <w:rsid w:val="3DBF716F"/>
    <w:rsid w:val="3E0C369D"/>
    <w:rsid w:val="3E3E6329"/>
    <w:rsid w:val="3E4376B9"/>
    <w:rsid w:val="3E937F78"/>
    <w:rsid w:val="3E994CC0"/>
    <w:rsid w:val="3F07472B"/>
    <w:rsid w:val="3F1629D1"/>
    <w:rsid w:val="3F69265B"/>
    <w:rsid w:val="3FAE4005"/>
    <w:rsid w:val="404436CF"/>
    <w:rsid w:val="405008B0"/>
    <w:rsid w:val="40657DA1"/>
    <w:rsid w:val="40D408D4"/>
    <w:rsid w:val="40D94663"/>
    <w:rsid w:val="40F74246"/>
    <w:rsid w:val="41343402"/>
    <w:rsid w:val="41511790"/>
    <w:rsid w:val="415D3AC7"/>
    <w:rsid w:val="41D3059C"/>
    <w:rsid w:val="4210207D"/>
    <w:rsid w:val="42195564"/>
    <w:rsid w:val="42464525"/>
    <w:rsid w:val="425D10F6"/>
    <w:rsid w:val="426C31B6"/>
    <w:rsid w:val="428A68D5"/>
    <w:rsid w:val="42D61394"/>
    <w:rsid w:val="43056452"/>
    <w:rsid w:val="433253F6"/>
    <w:rsid w:val="43452046"/>
    <w:rsid w:val="43753D85"/>
    <w:rsid w:val="439030A0"/>
    <w:rsid w:val="44327A18"/>
    <w:rsid w:val="44744427"/>
    <w:rsid w:val="44991438"/>
    <w:rsid w:val="44C40C62"/>
    <w:rsid w:val="44D273BF"/>
    <w:rsid w:val="45181F71"/>
    <w:rsid w:val="453F2B43"/>
    <w:rsid w:val="45533B3D"/>
    <w:rsid w:val="457F16E9"/>
    <w:rsid w:val="45DF3874"/>
    <w:rsid w:val="45E733FE"/>
    <w:rsid w:val="460E37D1"/>
    <w:rsid w:val="467B6918"/>
    <w:rsid w:val="467F49A8"/>
    <w:rsid w:val="46C247BE"/>
    <w:rsid w:val="46E20259"/>
    <w:rsid w:val="47304238"/>
    <w:rsid w:val="473169B0"/>
    <w:rsid w:val="47691F5D"/>
    <w:rsid w:val="47726CBF"/>
    <w:rsid w:val="47B464E3"/>
    <w:rsid w:val="48427D11"/>
    <w:rsid w:val="488C4B46"/>
    <w:rsid w:val="48A33558"/>
    <w:rsid w:val="48A91D31"/>
    <w:rsid w:val="48CC46D8"/>
    <w:rsid w:val="4968193D"/>
    <w:rsid w:val="49BA5DC2"/>
    <w:rsid w:val="49CE3C91"/>
    <w:rsid w:val="4A5E7F06"/>
    <w:rsid w:val="4A634F0C"/>
    <w:rsid w:val="4A7815A1"/>
    <w:rsid w:val="4A7B6EEA"/>
    <w:rsid w:val="4A8B1864"/>
    <w:rsid w:val="4AA3393F"/>
    <w:rsid w:val="4AD478E8"/>
    <w:rsid w:val="4BDA432D"/>
    <w:rsid w:val="4C354E9B"/>
    <w:rsid w:val="4C6A4D8E"/>
    <w:rsid w:val="4C820381"/>
    <w:rsid w:val="4D4E3DDA"/>
    <w:rsid w:val="4D5377F3"/>
    <w:rsid w:val="4D7109D8"/>
    <w:rsid w:val="4D75363C"/>
    <w:rsid w:val="4DA353A9"/>
    <w:rsid w:val="4DAD42D4"/>
    <w:rsid w:val="4DB41AF4"/>
    <w:rsid w:val="4DEF4054"/>
    <w:rsid w:val="4DFC1BD1"/>
    <w:rsid w:val="4E3955F5"/>
    <w:rsid w:val="4E4D37A7"/>
    <w:rsid w:val="4E91053F"/>
    <w:rsid w:val="4EA941EF"/>
    <w:rsid w:val="4EFC657A"/>
    <w:rsid w:val="50062F70"/>
    <w:rsid w:val="500870C8"/>
    <w:rsid w:val="50231798"/>
    <w:rsid w:val="50251C10"/>
    <w:rsid w:val="50262C57"/>
    <w:rsid w:val="50482083"/>
    <w:rsid w:val="504E450A"/>
    <w:rsid w:val="50BA4153"/>
    <w:rsid w:val="510B7428"/>
    <w:rsid w:val="510E3F3A"/>
    <w:rsid w:val="5125236F"/>
    <w:rsid w:val="51320E4C"/>
    <w:rsid w:val="51343083"/>
    <w:rsid w:val="51586E09"/>
    <w:rsid w:val="51A962DE"/>
    <w:rsid w:val="51C024D9"/>
    <w:rsid w:val="51D651E8"/>
    <w:rsid w:val="525D799C"/>
    <w:rsid w:val="525F7963"/>
    <w:rsid w:val="529670B6"/>
    <w:rsid w:val="531970A6"/>
    <w:rsid w:val="53447F65"/>
    <w:rsid w:val="53A55192"/>
    <w:rsid w:val="53D924CC"/>
    <w:rsid w:val="541D3C29"/>
    <w:rsid w:val="542153D0"/>
    <w:rsid w:val="54495F74"/>
    <w:rsid w:val="54B86F23"/>
    <w:rsid w:val="551D409C"/>
    <w:rsid w:val="552424F2"/>
    <w:rsid w:val="553E37CC"/>
    <w:rsid w:val="557200A8"/>
    <w:rsid w:val="557A1508"/>
    <w:rsid w:val="55B076AF"/>
    <w:rsid w:val="55E92299"/>
    <w:rsid w:val="562E13AB"/>
    <w:rsid w:val="56467A9D"/>
    <w:rsid w:val="569C7FE8"/>
    <w:rsid w:val="56D35B86"/>
    <w:rsid w:val="577A6E84"/>
    <w:rsid w:val="582A7D0E"/>
    <w:rsid w:val="583D7D4F"/>
    <w:rsid w:val="58773DFA"/>
    <w:rsid w:val="588053D7"/>
    <w:rsid w:val="5899031D"/>
    <w:rsid w:val="58AD34EB"/>
    <w:rsid w:val="58BC4B88"/>
    <w:rsid w:val="59457678"/>
    <w:rsid w:val="597C2FB4"/>
    <w:rsid w:val="59E258A0"/>
    <w:rsid w:val="59F50DC2"/>
    <w:rsid w:val="5B487FFD"/>
    <w:rsid w:val="5B545190"/>
    <w:rsid w:val="5B5C30D1"/>
    <w:rsid w:val="5B8A31FF"/>
    <w:rsid w:val="5B8A6C06"/>
    <w:rsid w:val="5BDF776C"/>
    <w:rsid w:val="5C26424A"/>
    <w:rsid w:val="5C494453"/>
    <w:rsid w:val="5CBC469E"/>
    <w:rsid w:val="5D2F3987"/>
    <w:rsid w:val="5D39065D"/>
    <w:rsid w:val="5DB35661"/>
    <w:rsid w:val="5DD1423B"/>
    <w:rsid w:val="5E0A44FD"/>
    <w:rsid w:val="5E3E2A20"/>
    <w:rsid w:val="5E4267EA"/>
    <w:rsid w:val="5E563C24"/>
    <w:rsid w:val="5E6C0BC8"/>
    <w:rsid w:val="5E713CE2"/>
    <w:rsid w:val="5E813FEA"/>
    <w:rsid w:val="5E8D53A1"/>
    <w:rsid w:val="5EA53E28"/>
    <w:rsid w:val="5EBD1BEC"/>
    <w:rsid w:val="5F1B48F5"/>
    <w:rsid w:val="60160CE0"/>
    <w:rsid w:val="60162F20"/>
    <w:rsid w:val="602825EF"/>
    <w:rsid w:val="60771456"/>
    <w:rsid w:val="60783F9C"/>
    <w:rsid w:val="61807BCB"/>
    <w:rsid w:val="61885EE4"/>
    <w:rsid w:val="622672F6"/>
    <w:rsid w:val="62575986"/>
    <w:rsid w:val="62637768"/>
    <w:rsid w:val="62D933C5"/>
    <w:rsid w:val="62DC4C5E"/>
    <w:rsid w:val="633175D0"/>
    <w:rsid w:val="633E244D"/>
    <w:rsid w:val="63530428"/>
    <w:rsid w:val="637377DB"/>
    <w:rsid w:val="63BF1083"/>
    <w:rsid w:val="63D96CC0"/>
    <w:rsid w:val="63FA59DF"/>
    <w:rsid w:val="64133602"/>
    <w:rsid w:val="643C4E57"/>
    <w:rsid w:val="646E4C21"/>
    <w:rsid w:val="64DB3F9C"/>
    <w:rsid w:val="653E7002"/>
    <w:rsid w:val="65BC0729"/>
    <w:rsid w:val="65C144F5"/>
    <w:rsid w:val="65D72B9D"/>
    <w:rsid w:val="65E33A3E"/>
    <w:rsid w:val="66541384"/>
    <w:rsid w:val="666B6D21"/>
    <w:rsid w:val="678B2726"/>
    <w:rsid w:val="67DB6F05"/>
    <w:rsid w:val="68A85086"/>
    <w:rsid w:val="68F141EC"/>
    <w:rsid w:val="69794454"/>
    <w:rsid w:val="6A0B0BC9"/>
    <w:rsid w:val="6A341147"/>
    <w:rsid w:val="6A3C3C5B"/>
    <w:rsid w:val="6A706F08"/>
    <w:rsid w:val="6A72625B"/>
    <w:rsid w:val="6AA01197"/>
    <w:rsid w:val="6AFB5656"/>
    <w:rsid w:val="6AFC2CDA"/>
    <w:rsid w:val="6B2E0EA8"/>
    <w:rsid w:val="6B423FA3"/>
    <w:rsid w:val="6B7E1653"/>
    <w:rsid w:val="6BCB3A94"/>
    <w:rsid w:val="6BD84CE0"/>
    <w:rsid w:val="6CA35D03"/>
    <w:rsid w:val="6CC74E9C"/>
    <w:rsid w:val="6CEF046D"/>
    <w:rsid w:val="6D1B4725"/>
    <w:rsid w:val="6DCF56F0"/>
    <w:rsid w:val="6E2B530E"/>
    <w:rsid w:val="6E483575"/>
    <w:rsid w:val="6E8611CA"/>
    <w:rsid w:val="6E951B5B"/>
    <w:rsid w:val="6E981D9B"/>
    <w:rsid w:val="6EB573CA"/>
    <w:rsid w:val="6EBA3869"/>
    <w:rsid w:val="6ED94D70"/>
    <w:rsid w:val="6F0A3082"/>
    <w:rsid w:val="6F572FB3"/>
    <w:rsid w:val="6F8648E8"/>
    <w:rsid w:val="6F912FDA"/>
    <w:rsid w:val="6FDB04EF"/>
    <w:rsid w:val="70803088"/>
    <w:rsid w:val="708B3AB5"/>
    <w:rsid w:val="70DA6EBE"/>
    <w:rsid w:val="71007466"/>
    <w:rsid w:val="71070A78"/>
    <w:rsid w:val="713E7AE4"/>
    <w:rsid w:val="715F73F0"/>
    <w:rsid w:val="71CD558C"/>
    <w:rsid w:val="71F0768E"/>
    <w:rsid w:val="72035C17"/>
    <w:rsid w:val="72643AF8"/>
    <w:rsid w:val="727C21F9"/>
    <w:rsid w:val="72AC3DD8"/>
    <w:rsid w:val="732D3343"/>
    <w:rsid w:val="73977138"/>
    <w:rsid w:val="73AD01A7"/>
    <w:rsid w:val="73D73628"/>
    <w:rsid w:val="740414BD"/>
    <w:rsid w:val="74285B29"/>
    <w:rsid w:val="74365D3D"/>
    <w:rsid w:val="743734B4"/>
    <w:rsid w:val="7450401A"/>
    <w:rsid w:val="74BD2037"/>
    <w:rsid w:val="74CF2A67"/>
    <w:rsid w:val="74F900FC"/>
    <w:rsid w:val="753206AA"/>
    <w:rsid w:val="7543349C"/>
    <w:rsid w:val="75DB6FE8"/>
    <w:rsid w:val="763C068E"/>
    <w:rsid w:val="76DD0811"/>
    <w:rsid w:val="76FE3740"/>
    <w:rsid w:val="77990605"/>
    <w:rsid w:val="779A6A90"/>
    <w:rsid w:val="77B271C6"/>
    <w:rsid w:val="780C2015"/>
    <w:rsid w:val="78664D0C"/>
    <w:rsid w:val="78A22479"/>
    <w:rsid w:val="78B91928"/>
    <w:rsid w:val="79631469"/>
    <w:rsid w:val="796D72B4"/>
    <w:rsid w:val="79DB285C"/>
    <w:rsid w:val="79E056BE"/>
    <w:rsid w:val="79EC594B"/>
    <w:rsid w:val="7A261DD4"/>
    <w:rsid w:val="7AC94724"/>
    <w:rsid w:val="7AE63820"/>
    <w:rsid w:val="7B0558D1"/>
    <w:rsid w:val="7B13343F"/>
    <w:rsid w:val="7B366A37"/>
    <w:rsid w:val="7BF539A2"/>
    <w:rsid w:val="7C0525BC"/>
    <w:rsid w:val="7C206A71"/>
    <w:rsid w:val="7CE148FD"/>
    <w:rsid w:val="7CE362CA"/>
    <w:rsid w:val="7D0B7A30"/>
    <w:rsid w:val="7D1B7520"/>
    <w:rsid w:val="7D8A2FBD"/>
    <w:rsid w:val="7DAD482E"/>
    <w:rsid w:val="7DC53930"/>
    <w:rsid w:val="7DDE6CCD"/>
    <w:rsid w:val="7E7206ED"/>
    <w:rsid w:val="7EB530B0"/>
    <w:rsid w:val="7EC909BB"/>
    <w:rsid w:val="7ECB3823"/>
    <w:rsid w:val="7ED01C03"/>
    <w:rsid w:val="7F3D527A"/>
    <w:rsid w:val="7FC36EC8"/>
    <w:rsid w:val="7FD369CC"/>
    <w:rsid w:val="7FF8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仿宋" w:cs="宋体"/>
      <w:color w:val="FF000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21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page number"/>
    <w:basedOn w:val="8"/>
    <w:qFormat/>
    <w:uiPriority w:val="0"/>
  </w:style>
  <w:style w:type="table" w:styleId="12">
    <w:name w:val="Table Grid"/>
    <w:basedOn w:val="11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6">
    <w:name w:val="批注框文本 字符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3 字符"/>
    <w:basedOn w:val="8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8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9">
    <w:name w:val="批注框文本 字符1"/>
    <w:link w:val="3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1">
    <w:name w:val="正文文本缩进 3 字符1"/>
    <w:link w:val="6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5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0</TotalTime>
  <ScaleCrop>false</ScaleCrop>
  <LinksUpToDate>false</LinksUpToDate>
  <CharactersWithSpaces>10542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2020-01-20T11:32:00Z</cp:lastPrinted>
  <dcterms:modified xsi:type="dcterms:W3CDTF">2020-11-26T04:15:23Z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