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inline distT="0" distB="0" distL="114300" distR="114300">
            <wp:extent cx="5266690" cy="7446645"/>
            <wp:effectExtent l="0" t="0" r="10160" b="1905"/>
            <wp:docPr id="1" name="图片 1" descr="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纤维检验所2020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 xml:space="preserve"> 克州纤维检验所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一、关于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二、关于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三、关于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四、关于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五、关于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六、关于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七、关于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八、关于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九、关于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" w:cs="仿宋"/>
          <w:bCs/>
          <w:kern w:val="0"/>
          <w:sz w:val="32"/>
          <w:szCs w:val="32"/>
        </w:rPr>
      </w:pPr>
      <w:r>
        <w:rPr>
          <w:rFonts w:hint="eastAsia" w:ascii="黑体" w:hAnsi="黑体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u w:val="none"/>
          <w:shd w:val="clear" w:fill="FFFFFF"/>
        </w:rPr>
        <w:t>依照相关纤维质量监督管理的行政法规，部门规章和规范性文件，依法组织开展辖区内纤维监督管理及行政执法工作。承担组织实施辖区内絮用纤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维制品质量监督和专项打假工作。组织实施辖区质量监督检查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和公正检验，纤维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u w:val="none"/>
          <w:shd w:val="clear" w:fill="FFFFFF"/>
        </w:rPr>
        <w:t>制品的仲裁检验、委托检验。组织实施有关纤维质量监督和纤维检验技术的宣传、教育、科研、信息、统计工作。参与纤维国家标准和有关规定的制（修）订工作并对其实施进行监督管理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 xml:space="preserve"> </w:t>
      </w:r>
    </w:p>
    <w:p>
      <w:pPr>
        <w:widowControl/>
        <w:numPr>
          <w:ilvl w:val="0"/>
          <w:numId w:val="1"/>
        </w:numPr>
        <w:spacing w:line="560" w:lineRule="exact"/>
        <w:ind w:left="640" w:leftChars="0" w:firstLine="0" w:firstLineChars="0"/>
        <w:jc w:val="left"/>
        <w:rPr>
          <w:rFonts w:hint="eastAsia" w:ascii="黑体" w:hAnsi="黑体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黑体" w:hAnsi="黑体" w:eastAsia="仿宋" w:cs="仿宋"/>
          <w:b/>
          <w:bCs w:val="0"/>
          <w:kern w:val="0"/>
          <w:sz w:val="32"/>
          <w:szCs w:val="32"/>
        </w:rPr>
        <w:t>机构设置及人员情况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jc w:val="left"/>
        <w:rPr>
          <w:rFonts w:hint="eastAsia" w:ascii="黑体" w:hAnsi="黑体" w:eastAsia="仿宋" w:cs="仿宋"/>
          <w:b/>
          <w:bCs w:val="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单位无下属预算单位，下设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业务室和综合检验室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单位编制数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，实有人数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人，其中：在职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人，增加或减少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人； 退休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人，增加或减少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人；离休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人，增加或减少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600" w:firstLineChars="50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69.75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501.57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69.75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409.32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479.07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22.5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501.57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501.57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8"/>
        <w:tblpPr w:leftFromText="180" w:rightFromText="180" w:vertAnchor="text" w:horzAnchor="page" w:tblpX="825" w:tblpY="322"/>
        <w:tblOverlap w:val="never"/>
        <w:tblW w:w="110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934"/>
        <w:gridCol w:w="820"/>
        <w:gridCol w:w="716"/>
        <w:gridCol w:w="680"/>
        <w:gridCol w:w="680"/>
        <w:gridCol w:w="680"/>
        <w:gridCol w:w="816"/>
        <w:gridCol w:w="767"/>
        <w:gridCol w:w="709"/>
        <w:gridCol w:w="417"/>
        <w:gridCol w:w="1043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事业运行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501.57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69.75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409.32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501.57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69.75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409.32</w:t>
            </w: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22.5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spacing w:before="120" w:beforeLines="50"/>
        <w:ind w:left="480" w:hanging="480" w:hangingChars="2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编制部门：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8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399"/>
        <w:gridCol w:w="2582"/>
        <w:gridCol w:w="1846"/>
        <w:gridCol w:w="1846"/>
        <w:gridCol w:w="1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事业运行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501.57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501.57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501.57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501.57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表</w:t>
      </w:r>
    </w:p>
    <w:p>
      <w:pPr>
        <w:widowControl/>
        <w:spacing w:before="120" w:beforeLines="50"/>
        <w:ind w:left="7200" w:hanging="7200" w:hangingChars="3000"/>
        <w:jc w:val="left"/>
        <w:outlineLvl w:val="1"/>
        <w:rPr>
          <w:rFonts w:hint="eastAsia" w:ascii="仿宋_GB2312" w:hAnsi="宋体" w:eastAsia="仿宋_GB2312"/>
          <w:kern w:val="0"/>
          <w:sz w:val="24"/>
          <w:lang w:val="en-US" w:eastAsia="zh-CN"/>
        </w:rPr>
      </w:pPr>
    </w:p>
    <w:p>
      <w:pPr>
        <w:widowControl/>
        <w:spacing w:before="120" w:beforeLines="50"/>
        <w:ind w:left="480" w:hanging="480" w:hangingChars="200"/>
        <w:jc w:val="left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填报单位：克州纤维检验所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单位：万元       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                   </w:t>
      </w:r>
    </w:p>
    <w:tbl>
      <w:tblPr>
        <w:tblStyle w:val="8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69.75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69.75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69.75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69.75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69.75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69.75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69.75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21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克州纤维检验所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30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66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克州纤维检验所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3.84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克州纤维检验所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本年没有使用项目支出，故此表为空表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ind w:left="5040" w:hanging="5040" w:hangingChars="21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单</w:t>
      </w:r>
      <w:r>
        <w:rPr>
          <w:rFonts w:hint="eastAsia" w:ascii="仿宋_GB2312" w:hAnsi="宋体" w:eastAsia="仿宋_GB2312"/>
          <w:kern w:val="0"/>
          <w:sz w:val="24"/>
        </w:rPr>
        <w:t>位：万元</w:t>
      </w:r>
    </w:p>
    <w:tbl>
      <w:tblPr>
        <w:tblStyle w:val="8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     单位：万元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本年没有使用政府性基金预算拨款安排的支出，故此表为空表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年所有收入和支出均纳入部门预算管理。收支总预算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收入预算包括：一般公共预算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69.75万元，上级补助收入409.32万元，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2019年年末在职人员减少3人，财政拨款减少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政府性基金预算未安排。或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 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 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本年没有使用政府性基金预算拨款安排的支出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上级补助收入409.32万元，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%，比上年增加少）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409.32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此项费用为棉花公检经费上年以上年结余方式结转。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单位上年结余（不包括国库集中支付额度结余）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447.72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此项结余为公用经费结余，上年为公检经费结余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376.29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万元，主要原因是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上年部门支出中有有基本支出和项目支出，本年度未安排项目支出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%，比上年减少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本年度未安排项目支出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年财政拨款收支总预算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万元，下降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%。主要原因是：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2019年年末在职人员减少3人，财政拨款减少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</w:t>
      </w: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69.75</w:t>
      </w:r>
      <w:r>
        <w:rPr>
          <w:rFonts w:hint="eastAsia" w:ascii="楷体_GB2312" w:eastAsia="楷体_GB2312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1.例：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38事业</w:t>
      </w:r>
      <w:r>
        <w:rPr>
          <w:rFonts w:ascii="仿宋_GB2312" w:hAnsi="宋体" w:eastAsia="仿宋_GB2312" w:cs="宋体"/>
          <w:kern w:val="0"/>
          <w:sz w:val="32"/>
          <w:szCs w:val="32"/>
        </w:rPr>
        <w:t>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2019年年末在职人员减少3人，财政拨款减少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7.09万元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3.33万元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2020年度未安排项目支出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万元，其中：因公出国（境）费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万元，公务用车购置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万元，公务用车运行费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本年度未安排此项支出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；公务用车购置费为0，未安排预算。[或公务用车购置费增加（减少）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本年度未安排此项支出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]；公务用车运行费增加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上年度未安排此项支出，今年安排此项支出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本年度未安排此项支出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在预算中未安排政府性基金预算的部门，必须公开空表，同时做以下说明：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  家事业单位的机关运行经费财政拨款预算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万元，下降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%。主要原因是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上年度安排公用取暖费支出，今年未安排支出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部门及下属单位政府采购预算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319.42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万元，其中：政府采购货物预算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319.42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万元，政府采购工程预算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万元，政府采购服务预算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 xml:space="preserve">年度本部门面向中小企业预留政府采购项目预算金额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  万元，其中：面向小微企业预留政府采购项目预算金额 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 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854.39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平方米，价值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辆，价值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万元；执法执勤用车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辆，价值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单位价值50万元以上大型设备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年部门预算未安排购置车辆经费（或安排购置车辆经费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万元），安排购置50万元以上大型设备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年度，本年度实行绩效管理的项目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个，涉及预算金额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8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克州纤维检验所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5B985"/>
    <w:multiLevelType w:val="singleLevel"/>
    <w:tmpl w:val="A1E5B985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1322771"/>
    <w:rsid w:val="0679267A"/>
    <w:rsid w:val="06B07329"/>
    <w:rsid w:val="0B272E8E"/>
    <w:rsid w:val="0F985924"/>
    <w:rsid w:val="10E841D4"/>
    <w:rsid w:val="159F6328"/>
    <w:rsid w:val="1F5103D5"/>
    <w:rsid w:val="22A5666E"/>
    <w:rsid w:val="24FA3165"/>
    <w:rsid w:val="28867433"/>
    <w:rsid w:val="2BFD1FA0"/>
    <w:rsid w:val="2E4C1462"/>
    <w:rsid w:val="2F0305FC"/>
    <w:rsid w:val="302F60FF"/>
    <w:rsid w:val="33DA6E22"/>
    <w:rsid w:val="38DF76E5"/>
    <w:rsid w:val="45B176C1"/>
    <w:rsid w:val="4B586C5A"/>
    <w:rsid w:val="50E755C0"/>
    <w:rsid w:val="53250847"/>
    <w:rsid w:val="55836D2F"/>
    <w:rsid w:val="562A6C20"/>
    <w:rsid w:val="584279AE"/>
    <w:rsid w:val="592867D5"/>
    <w:rsid w:val="597437C1"/>
    <w:rsid w:val="5B6A184C"/>
    <w:rsid w:val="5CD532DB"/>
    <w:rsid w:val="5DAB679B"/>
    <w:rsid w:val="5DC867E4"/>
    <w:rsid w:val="5E092E0F"/>
    <w:rsid w:val="5F2B3940"/>
    <w:rsid w:val="64F81C60"/>
    <w:rsid w:val="65EE2425"/>
    <w:rsid w:val="68ED26AD"/>
    <w:rsid w:val="6C387668"/>
    <w:rsid w:val="6EE9486A"/>
    <w:rsid w:val="71AE180D"/>
    <w:rsid w:val="72530C4F"/>
    <w:rsid w:val="7C1E0E61"/>
    <w:rsid w:val="7F69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21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字符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字符"/>
    <w:basedOn w:val="1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9">
    <w:name w:val="批注框文本 字符1"/>
    <w:link w:val="3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1">
    <w:name w:val="正文文本缩进 3 字符1"/>
    <w:link w:val="6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5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0</TotalTime>
  <ScaleCrop>false</ScaleCrop>
  <LinksUpToDate>false</LinksUpToDate>
  <CharactersWithSpaces>10542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86133</cp:lastModifiedBy>
  <cp:lastPrinted>2020-01-09T10:17:00Z</cp:lastPrinted>
  <dcterms:modified xsi:type="dcterms:W3CDTF">2020-11-28T14:43:52Z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