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/>
          <w:b/>
          <w:kern w:val="0"/>
          <w:sz w:val="44"/>
          <w:szCs w:val="4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2054225</wp:posOffset>
            </wp:positionH>
            <wp:positionV relativeFrom="paragraph">
              <wp:posOffset>130810</wp:posOffset>
            </wp:positionV>
            <wp:extent cx="1638300" cy="1650365"/>
            <wp:effectExtent l="0" t="0" r="0" b="6985"/>
            <wp:wrapNone/>
            <wp:docPr id="2" name="图片 2" descr="电子单位章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单位章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460" w:lineRule="exact"/>
        <w:ind w:left="2197" w:leftChars="627" w:hanging="880" w:hangingChars="200"/>
        <w:jc w:val="both"/>
        <w:outlineLvl w:val="1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克孜勒苏柯尔克孜自治州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/>
        </w:rPr>
        <w:t>克州种子管理   站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部门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宋体" w:hAnsi="宋体" w:eastAsia="宋体"/>
          <w:b/>
          <w:kern w:val="0"/>
          <w:sz w:val="44"/>
          <w:szCs w:val="44"/>
          <w:lang w:eastAsia="zh-CN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克州种子管理站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二、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三、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四、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五、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六、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七、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八、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九、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克州种子管理站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克州种子管理站的具体职责是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kern w:val="0"/>
          <w:sz w:val="32"/>
          <w:szCs w:val="32"/>
        </w:rPr>
        <w:t>负责全州农作物品种规划与布局、良种繁育和推广、申报项目并组织实施和监督；负责种子执法，管理种子生产和经营市场；负责制订全州种子检验检测计划，并负责组织实施和监督；负责收集、汇总上报全州种子生产经营信息，搞好业务统计报表工作；负责种子系统干部的培训；承办自治州农业局交办的其它工作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克州种子管理站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单位无下属预算单位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个处室，分别是：</w:t>
      </w:r>
      <w:r>
        <w:rPr>
          <w:rFonts w:hint="eastAsia" w:ascii="仿宋_GB2312" w:hAnsi="宋体" w:eastAsia="仿宋_GB2312"/>
          <w:kern w:val="0"/>
          <w:sz w:val="32"/>
          <w:szCs w:val="32"/>
        </w:rPr>
        <w:t>办公室、执法科、检验科,品种试验科。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克州种子管理站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2240" w:firstLineChars="70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2240" w:firstLineChars="70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2240" w:firstLineChars="70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2240" w:firstLineChars="70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2240" w:firstLineChars="70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2240" w:firstLineChars="700"/>
        <w:jc w:val="both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克州种子管理站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418.12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418.12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419.72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 xml:space="preserve">           430.12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 xml:space="preserve">        430.12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430.12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430.12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克州种子管理站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   单位：万元</w:t>
      </w:r>
    </w:p>
    <w:tbl>
      <w:tblPr>
        <w:tblStyle w:val="7"/>
        <w:tblW w:w="9825" w:type="dxa"/>
        <w:tblInd w:w="-7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65"/>
        <w:gridCol w:w="465"/>
        <w:gridCol w:w="899"/>
        <w:gridCol w:w="938"/>
        <w:gridCol w:w="925"/>
        <w:gridCol w:w="475"/>
        <w:gridCol w:w="525"/>
        <w:gridCol w:w="513"/>
        <w:gridCol w:w="575"/>
        <w:gridCol w:w="450"/>
        <w:gridCol w:w="437"/>
        <w:gridCol w:w="438"/>
        <w:gridCol w:w="512"/>
        <w:gridCol w:w="1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15"/>
                <w:szCs w:val="15"/>
                <w:lang w:val="en-US" w:eastAsia="zh-CN"/>
              </w:rPr>
              <w:t>04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事业运行（农业）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400.72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400.72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其他农业农村支出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学前教育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10.4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10.4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430.12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418.12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克州种子管理站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   单位：万元</w:t>
      </w:r>
    </w:p>
    <w:tbl>
      <w:tblPr>
        <w:tblStyle w:val="7"/>
        <w:tblW w:w="9496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80"/>
        <w:gridCol w:w="160"/>
        <w:gridCol w:w="280"/>
        <w:gridCol w:w="2324"/>
        <w:gridCol w:w="76"/>
        <w:gridCol w:w="1779"/>
        <w:gridCol w:w="76"/>
        <w:gridCol w:w="1780"/>
        <w:gridCol w:w="76"/>
        <w:gridCol w:w="1828"/>
        <w:gridCol w:w="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345" w:hRule="atLeast"/>
        </w:trPr>
        <w:tc>
          <w:tcPr>
            <w:tcW w:w="3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学前教育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10.40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10.40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213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事业运行（农业）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400.72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400.72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213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其他农业农村支出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430.12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411.12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克州种子管理站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418.12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418.12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10.40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10.40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407.72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407.72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418.12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418.12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418.12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克州种子管理站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学前教育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事业运行（农业）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400.72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400.72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其他农业农村支出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418.72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411.12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976"/>
        <w:gridCol w:w="3032"/>
        <w:gridCol w:w="45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克州种子管理站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：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5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0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0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30113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住房公积金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30206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电费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30399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其他对个人和家庭的补助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30309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奖励金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30242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办公用品及设备采购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30108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机关事业单位基本养老保险缴费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30231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公务用车运行维护费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30211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差旅费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30201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办公费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30101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基本工资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114.85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114.85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30305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生活补助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30302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退休费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30299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其他商品和服务支出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30399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其他对个人和家庭的补助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30112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其他对社会保障缴费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30204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手续费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30103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奖金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30228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工会经费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30226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劳务费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30202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印刷费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30229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福利费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30112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其他社会保障缴费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30102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津贴补贴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148.67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148.67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30207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邮电费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30123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维修（护）费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411.12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398.93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12.19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302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注：无内容应公开空表并说明情况</w:t>
      </w:r>
    </w:p>
    <w:p>
      <w:pPr>
        <w:widowControl/>
        <w:outlineLvl w:val="1"/>
        <w:rPr>
          <w:rFonts w:hint="default" w:ascii="仿宋_GB2312" w:hAnsi="宋体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301</w:t>
      </w:r>
    </w:p>
    <w:tbl>
      <w:tblPr>
        <w:tblStyle w:val="7"/>
        <w:tblW w:w="961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37"/>
        <w:gridCol w:w="480"/>
        <w:gridCol w:w="458"/>
        <w:gridCol w:w="1056"/>
        <w:gridCol w:w="1029"/>
        <w:gridCol w:w="750"/>
        <w:gridCol w:w="40"/>
        <w:gridCol w:w="529"/>
        <w:gridCol w:w="536"/>
        <w:gridCol w:w="652"/>
        <w:gridCol w:w="652"/>
        <w:gridCol w:w="308"/>
        <w:gridCol w:w="270"/>
        <w:gridCol w:w="419"/>
        <w:gridCol w:w="578"/>
        <w:gridCol w:w="420"/>
        <w:gridCol w:w="420"/>
        <w:gridCol w:w="319"/>
        <w:gridCol w:w="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4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302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49" w:type="dxa"/>
          <w:trHeight w:val="5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克州种子管理站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48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4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0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45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213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　</w:t>
            </w:r>
          </w:p>
        </w:tc>
        <w:tc>
          <w:tcPr>
            <w:tcW w:w="458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056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其他农业农村支出　</w:t>
            </w:r>
          </w:p>
        </w:tc>
        <w:tc>
          <w:tcPr>
            <w:tcW w:w="10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群众工作经费（一）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7.00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213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　</w:t>
            </w:r>
          </w:p>
        </w:tc>
        <w:tc>
          <w:tcPr>
            <w:tcW w:w="45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05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其他农业农村支出　</w:t>
            </w:r>
          </w:p>
        </w:tc>
        <w:tc>
          <w:tcPr>
            <w:tcW w:w="10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群众工作经费（二）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12.00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克州种子管理站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1.00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0.50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克州种子管理站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故此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表为空表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年所有收入和支出均纳入部门预算管理。收支总预算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430.12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418.12万元，上级专项收入12万元。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10.40万元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419.72万元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克州种子管理站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收入预算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430.12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</w:t>
      </w:r>
    </w:p>
    <w:p>
      <w:pPr>
        <w:widowControl/>
        <w:spacing w:line="5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418.12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97.2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是调整岗位工资、高定工资和中央艰边贴；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学前教育增加一个人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财政局拨给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执教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工作经费。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上级专项收入12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将自治区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群众工作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为民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办实事好事经费列入了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年支出预算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430.12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411.12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万元，主要原因是一是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调整岗位工资、高定工资和中央艰边贴；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二是是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学前教育增加一个人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财政局拨给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学前教育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00" w:lineRule="exact"/>
        <w:ind w:firstLine="640"/>
        <w:jc w:val="left"/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项目支出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占4.42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上年群众工作生活补助费项目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四、关于克州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种子管理站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418.12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农林水支出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407.72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万元，主要用于：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主要用于发放人员工资，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工资福利支出、商品和服务支出、对个人和家庭的补助、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单位日常运行支出等。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教育支出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10.40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万元，主要用于：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eastAsia="zh-CN"/>
        </w:rPr>
        <w:t>发放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4名学前教育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人员补助。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年一般公共预算拨款基本支出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411.12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%。主要原因是：今年单位职工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5月份调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学前教育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人员生活补助。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克州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种子站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2020年一般公共预算拨款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项目支出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7万元，比上年执行数减少20.76万元，下降74.78%，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去年项目里面有群众工作人员生活补助和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学前教育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人员生活补助，今年没有。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楷体_GB2312" w:hAnsi="宋体" w:eastAsia="楷体_GB2312" w:cs="宋体"/>
          <w:b w:val="0"/>
          <w:bCs/>
          <w:kern w:val="0"/>
          <w:sz w:val="32"/>
          <w:szCs w:val="32"/>
        </w:rPr>
        <w:t>一般公共预算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农林水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213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418.12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97.21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2.．一般公共预算教育支出（205）10.4万元，占2.49%。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农林水支出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213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农业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事业</w:t>
      </w:r>
      <w:r>
        <w:rPr>
          <w:rFonts w:ascii="仿宋_GB2312" w:hAnsi="宋体" w:eastAsia="仿宋_GB2312" w:cs="宋体"/>
          <w:kern w:val="0"/>
          <w:sz w:val="32"/>
          <w:szCs w:val="32"/>
        </w:rPr>
        <w:t>运行（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04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为400.31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%，主要原因是：上年有职工工资调资,工资增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今年发放两次绩效工资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一般公共预算农林水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(213)农业(01)其他农业农村支出(99):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去年这个项目财政局拨给我们主拨款项，今年调整其他农业农村支出款项。</w:t>
      </w:r>
    </w:p>
    <w:p>
      <w:pPr>
        <w:spacing w:line="560" w:lineRule="exact"/>
        <w:ind w:firstLine="640" w:firstLineChars="200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教育支出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(205)普通教育(02)学前教育(01):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10.4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学前教育今年增加一个人</w:t>
      </w:r>
      <w:r>
        <w:rPr>
          <w:rFonts w:ascii="??_GB2312" w:hAnsi="宋体" w:eastAsia="Times New Roman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411.12万元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398.93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114.85万元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148.67万元，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9.57万元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38.44万元，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27.71万元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12.43万元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1.92万元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23.36万元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公用经费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0.76万元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、手续费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、劳务费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1.65万元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2.97万元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、办公设备购置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1、项目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：群众工作经费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（一）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：根据自治州党委、自治州人民政府统一安排。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：克州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种子管理站。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：根据州委、州人民政府的安排和有关规定，继续做好群众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</w:rPr>
        <w:t>，深化为民办实事好事，把资金用在最困难，最急需的家庭中，不断帮扶解困，化解矛盾纠纷，用心用情为群众办实事好事，慰问困难群众活动，文体活动帮助村委会缴纳各种费用，为了归档购买办公用品和耗材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年全年。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群众工作</w:t>
      </w:r>
      <w:r>
        <w:rPr>
          <w:rFonts w:hint="eastAsia" w:ascii="仿宋_GB2312" w:hAnsi="黑体" w:eastAsia="仿宋_GB2312"/>
          <w:sz w:val="32"/>
          <w:szCs w:val="32"/>
        </w:rPr>
        <w:t>经费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（二）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：根据自治区党委、自治区人民政府相关工作要求。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：克州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种子管理站。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：按照计划逐步开展为民办实事好事活动、慰问困难群众活动、文体活动、帮助村委会缴纳各种费用、购买办公用品耗材及各种活动慰问品等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年全年。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年“三公”经费财政拨款预算数为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万元，公务用车运行费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万元，公务接待费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0万元，主要原因是未安排预算；公务用车购置费为0，未安排预算。[或公务用车购置费增加（减少）0万元，主要原因是未安排预算]；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公务用车运行费减少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压缩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公用经费后，可用经费有限，将部分公务用车运行费安排在群众工作项目中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克州种子管理站2020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克州种子管理站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因调整岗位工资、高定工资和中央艰边贴，引起福利费和工会会费相应提高 。</w:t>
      </w:r>
    </w:p>
    <w:p>
      <w:pPr>
        <w:widowControl/>
        <w:spacing w:line="580" w:lineRule="exact"/>
        <w:ind w:firstLine="64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克州种子管理站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部门及下属单位政府采购预算 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17.76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</w:t>
      </w:r>
      <w:r>
        <w:rPr>
          <w:rFonts w:hint="eastAsia" w:ascii="仿宋_GB2312" w:hAnsi="仿宋_GB2312" w:eastAsia="仿宋_GB2312"/>
          <w:sz w:val="32"/>
          <w:lang w:val="en-US" w:eastAsia="zh-CN"/>
        </w:rPr>
        <w:t>克州种子管理站</w:t>
      </w:r>
      <w:r>
        <w:rPr>
          <w:rFonts w:hint="eastAsia" w:ascii="仿宋_GB2312" w:hAnsi="仿宋_GB2312" w:eastAsia="仿宋_GB2312"/>
          <w:sz w:val="32"/>
        </w:rPr>
        <w:t>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17.76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17.76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克州种子管理站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30.31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12601" w:type="dxa"/>
        <w:tblInd w:w="1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25"/>
        <w:gridCol w:w="2253"/>
        <w:gridCol w:w="500"/>
        <w:gridCol w:w="1164"/>
        <w:gridCol w:w="323"/>
        <w:gridCol w:w="240"/>
        <w:gridCol w:w="1232"/>
        <w:gridCol w:w="240"/>
        <w:gridCol w:w="1917"/>
        <w:gridCol w:w="1156"/>
        <w:gridCol w:w="987"/>
        <w:gridCol w:w="249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406" w:hRule="atLeast"/>
        </w:trPr>
        <w:tc>
          <w:tcPr>
            <w:tcW w:w="111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7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克州种子管理站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群众工作经费（一）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451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7万元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gridAfter w:val="3"/>
          <w:wAfter w:w="1476" w:type="dxa"/>
          <w:trHeight w:val="401" w:hRule="atLeast"/>
        </w:trPr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025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通过开展群众工作，加强民族团结，增进民族互信，突出现代文化引领，促进宗教和谐，落实民生建设任务，增加农牧民收入，</w:t>
            </w:r>
            <w:r>
              <w:rPr>
                <w:rFonts w:hint="eastAsia" w:ascii="仿宋_GB2312" w:hAnsi="楷体" w:eastAsia="仿宋_GB2312" w:cs="黑体"/>
                <w:color w:val="000000"/>
                <w:sz w:val="20"/>
                <w:szCs w:val="20"/>
              </w:rPr>
              <w:t>关心关爱贫困户、低保户、残疾人等特殊家庭，帮助解决生产生活中的实际困难，实现</w:t>
            </w:r>
            <w:r>
              <w:rPr>
                <w:rFonts w:hint="eastAsia" w:ascii="仿宋_GB2312" w:hAnsi="仿宋" w:eastAsia="仿宋_GB2312"/>
                <w:sz w:val="20"/>
                <w:szCs w:val="20"/>
              </w:rPr>
              <w:t>维护社会稳定和长治久安总目标。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指标1：工作经费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指标1：开始时间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2020年1月份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gridAfter w:val="3"/>
          <w:wAfter w:w="1476" w:type="dxa"/>
          <w:trHeight w:val="27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指标2：结束时间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2020年12月份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指标1：解决村委会值班室问题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指标2：各类活动，宣传教育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每月或重要节日等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指标1：提升村干部工作效率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指标2：增强爱国爱党教育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83" w:hRule="atLeast"/>
        </w:trPr>
        <w:tc>
          <w:tcPr>
            <w:tcW w:w="8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指标1：带动并帮助贫困人口增加脱贫信心，出谋划策。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全村贫困户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83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83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指标1：提升基层组织服务能力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80%的村干部能独立完成工作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83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指标2：增加群众自身动力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提升群众创收能力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83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指标1：群众工作补助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补助当地群众充分了解党和国家的政策共同富裕发展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83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83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指标1：村委会干部及双联户长受益人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080" w:firstLineChars="600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至少20人收益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83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指标2：村民收益情况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村民全覆盖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指标1：群众满意率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406" w:hRule="atLeast"/>
        </w:trPr>
        <w:tc>
          <w:tcPr>
            <w:tcW w:w="111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7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克州种子管理站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群众工作经费（二）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451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gridAfter w:val="3"/>
          <w:wAfter w:w="1476" w:type="dxa"/>
          <w:trHeight w:val="401" w:hRule="atLeast"/>
        </w:trPr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025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仿宋" w:eastAsia="仿宋_GB2312"/>
                <w:color w:val="000000"/>
                <w:sz w:val="20"/>
                <w:szCs w:val="20"/>
              </w:rPr>
              <w:t>通过开展群众工作，加强民族团结，增进民族互信，突出现代文化引领，促进宗教和谐，落实民生建设任务，增加农牧民收入，</w:t>
            </w:r>
            <w:r>
              <w:rPr>
                <w:rFonts w:hint="eastAsia" w:ascii="仿宋_GB2312" w:hAnsi="楷体" w:eastAsia="仿宋_GB2312" w:cs="黑体"/>
                <w:color w:val="000000"/>
                <w:sz w:val="20"/>
                <w:szCs w:val="20"/>
              </w:rPr>
              <w:t>关心关爱贫困户、低保户、残疾人等特殊家庭，帮助解决生产生活中的实际困难，实现</w:t>
            </w:r>
            <w:r>
              <w:rPr>
                <w:rFonts w:hint="eastAsia" w:ascii="仿宋_GB2312" w:hAnsi="仿宋" w:eastAsia="仿宋_GB2312"/>
                <w:sz w:val="20"/>
                <w:szCs w:val="20"/>
              </w:rPr>
              <w:t>维护社会稳定和长治久安总目标。</w:t>
            </w:r>
          </w:p>
        </w:tc>
      </w:tr>
      <w:tr>
        <w:trPr>
          <w:gridAfter w:val="3"/>
          <w:wAfter w:w="1476" w:type="dxa"/>
          <w:trHeight w:val="271" w:hRule="atLeast"/>
        </w:trPr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指标1：用于慰问特困户和四老人员开展各类宣传，节日活动，环境整治等。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办事好事</w:t>
            </w: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0.5万元/次，群众走访慰问</w:t>
            </w: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0.36万元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指标1：开始时间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2020年1月份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指标2：结束时间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2020年12月份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指标1：开展群众工作队为民办实事好事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指标2：慰问联谊活动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指标1：走访慰问，联谊活动全覆盖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指标2：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gridAfter w:val="3"/>
          <w:wAfter w:w="1476" w:type="dxa"/>
          <w:trHeight w:val="283" w:hRule="atLeast"/>
        </w:trPr>
        <w:tc>
          <w:tcPr>
            <w:tcW w:w="8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指标1：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gridAfter w:val="3"/>
          <w:wAfter w:w="1476" w:type="dxa"/>
          <w:trHeight w:val="283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83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指标1：帮助群众解决生产生活困难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幸福感获得感增加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83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指标2：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83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指标1：帮助群众解决生产生活困难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幸福感获得感增加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83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83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指标1：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080" w:firstLineChars="600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83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指标2：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指标1：受益人员满意度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76" w:type="dxa"/>
          <w:trHeight w:val="27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无其他说明事项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克州种子管理站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</w:t>
      </w:r>
    </w:p>
    <w:p>
      <w:pPr>
        <w:widowControl/>
        <w:spacing w:line="520" w:lineRule="exact"/>
        <w:ind w:firstLine="5440" w:firstLineChars="17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0FD1D65"/>
    <w:rsid w:val="01C142A6"/>
    <w:rsid w:val="02344953"/>
    <w:rsid w:val="03305A1C"/>
    <w:rsid w:val="03CF47AB"/>
    <w:rsid w:val="046C7EE4"/>
    <w:rsid w:val="04712441"/>
    <w:rsid w:val="06292624"/>
    <w:rsid w:val="0733459E"/>
    <w:rsid w:val="08714BE3"/>
    <w:rsid w:val="08BD12CE"/>
    <w:rsid w:val="08C50597"/>
    <w:rsid w:val="091A6267"/>
    <w:rsid w:val="09393909"/>
    <w:rsid w:val="095C55F8"/>
    <w:rsid w:val="0A6F2EA6"/>
    <w:rsid w:val="0AC177EB"/>
    <w:rsid w:val="0C001089"/>
    <w:rsid w:val="0E4B6D5E"/>
    <w:rsid w:val="0F2D618F"/>
    <w:rsid w:val="0F3F2B25"/>
    <w:rsid w:val="102B7974"/>
    <w:rsid w:val="108C102E"/>
    <w:rsid w:val="127F0CCA"/>
    <w:rsid w:val="128737D0"/>
    <w:rsid w:val="140238D6"/>
    <w:rsid w:val="145578C6"/>
    <w:rsid w:val="14665694"/>
    <w:rsid w:val="156773D6"/>
    <w:rsid w:val="15AF01CC"/>
    <w:rsid w:val="16E25D0D"/>
    <w:rsid w:val="17C06CD6"/>
    <w:rsid w:val="185F79F9"/>
    <w:rsid w:val="18ED352B"/>
    <w:rsid w:val="191E6AF1"/>
    <w:rsid w:val="19E4157D"/>
    <w:rsid w:val="1A243FF4"/>
    <w:rsid w:val="1A3F089D"/>
    <w:rsid w:val="1C716765"/>
    <w:rsid w:val="1C824774"/>
    <w:rsid w:val="1D3E65D4"/>
    <w:rsid w:val="1DEC1F60"/>
    <w:rsid w:val="1E072811"/>
    <w:rsid w:val="1EDA0682"/>
    <w:rsid w:val="1F751837"/>
    <w:rsid w:val="210072E3"/>
    <w:rsid w:val="216B20DB"/>
    <w:rsid w:val="21781F48"/>
    <w:rsid w:val="21A05A18"/>
    <w:rsid w:val="222C0A3C"/>
    <w:rsid w:val="239B4B1F"/>
    <w:rsid w:val="24F4043E"/>
    <w:rsid w:val="25415344"/>
    <w:rsid w:val="25D24239"/>
    <w:rsid w:val="263D3732"/>
    <w:rsid w:val="26B710AE"/>
    <w:rsid w:val="26EA1DBA"/>
    <w:rsid w:val="270D628C"/>
    <w:rsid w:val="27856A51"/>
    <w:rsid w:val="27F0602E"/>
    <w:rsid w:val="286009B7"/>
    <w:rsid w:val="28DD1FE6"/>
    <w:rsid w:val="2A413C2A"/>
    <w:rsid w:val="2CEF445D"/>
    <w:rsid w:val="31CB4F22"/>
    <w:rsid w:val="31EE70F4"/>
    <w:rsid w:val="32BC219C"/>
    <w:rsid w:val="35EF4316"/>
    <w:rsid w:val="387B10C4"/>
    <w:rsid w:val="3A044B77"/>
    <w:rsid w:val="3A100A68"/>
    <w:rsid w:val="3A9C65BB"/>
    <w:rsid w:val="3AEA7577"/>
    <w:rsid w:val="3B4D3591"/>
    <w:rsid w:val="3BE3749D"/>
    <w:rsid w:val="3C786610"/>
    <w:rsid w:val="3C993F7F"/>
    <w:rsid w:val="3DFF618D"/>
    <w:rsid w:val="3FC92CD4"/>
    <w:rsid w:val="406410FA"/>
    <w:rsid w:val="41BA205D"/>
    <w:rsid w:val="448A5EF2"/>
    <w:rsid w:val="44950982"/>
    <w:rsid w:val="44A34A5C"/>
    <w:rsid w:val="46767823"/>
    <w:rsid w:val="49904DF7"/>
    <w:rsid w:val="4B956806"/>
    <w:rsid w:val="4BA36219"/>
    <w:rsid w:val="4C497E52"/>
    <w:rsid w:val="4CE93C13"/>
    <w:rsid w:val="4CF2184F"/>
    <w:rsid w:val="4DA555AE"/>
    <w:rsid w:val="4E1B5EC7"/>
    <w:rsid w:val="500F51E2"/>
    <w:rsid w:val="50207588"/>
    <w:rsid w:val="502A1264"/>
    <w:rsid w:val="506A4169"/>
    <w:rsid w:val="5182657D"/>
    <w:rsid w:val="52CD071C"/>
    <w:rsid w:val="52FE344B"/>
    <w:rsid w:val="54025EAC"/>
    <w:rsid w:val="5675549C"/>
    <w:rsid w:val="56A17E18"/>
    <w:rsid w:val="57CA33BB"/>
    <w:rsid w:val="58A30247"/>
    <w:rsid w:val="599B0375"/>
    <w:rsid w:val="5B942DEC"/>
    <w:rsid w:val="5BA073BF"/>
    <w:rsid w:val="5C806703"/>
    <w:rsid w:val="5C955A99"/>
    <w:rsid w:val="5CA47F5B"/>
    <w:rsid w:val="5DF931B1"/>
    <w:rsid w:val="5E49654C"/>
    <w:rsid w:val="5E7A5D5D"/>
    <w:rsid w:val="5EA108B7"/>
    <w:rsid w:val="60026516"/>
    <w:rsid w:val="600C3F00"/>
    <w:rsid w:val="608842BF"/>
    <w:rsid w:val="61040D9F"/>
    <w:rsid w:val="6112445C"/>
    <w:rsid w:val="6170482C"/>
    <w:rsid w:val="62C1593C"/>
    <w:rsid w:val="632935E7"/>
    <w:rsid w:val="63F13BAB"/>
    <w:rsid w:val="640608B2"/>
    <w:rsid w:val="64ED1B9D"/>
    <w:rsid w:val="67212AAD"/>
    <w:rsid w:val="682F473A"/>
    <w:rsid w:val="688C5236"/>
    <w:rsid w:val="68E1136A"/>
    <w:rsid w:val="68FB7B5C"/>
    <w:rsid w:val="6A0D5B55"/>
    <w:rsid w:val="6AE54AFB"/>
    <w:rsid w:val="6B6203E4"/>
    <w:rsid w:val="6B7E7C5E"/>
    <w:rsid w:val="6C380B5C"/>
    <w:rsid w:val="6DD94011"/>
    <w:rsid w:val="70FA1103"/>
    <w:rsid w:val="73686E6B"/>
    <w:rsid w:val="740233C0"/>
    <w:rsid w:val="7677785E"/>
    <w:rsid w:val="76A2694C"/>
    <w:rsid w:val="773A6BEE"/>
    <w:rsid w:val="77CC7E77"/>
    <w:rsid w:val="77E1035F"/>
    <w:rsid w:val="784448BF"/>
    <w:rsid w:val="79236EEB"/>
    <w:rsid w:val="7941034A"/>
    <w:rsid w:val="79464C3D"/>
    <w:rsid w:val="799B50A0"/>
    <w:rsid w:val="7A0953F3"/>
    <w:rsid w:val="7A9E74D1"/>
    <w:rsid w:val="7B754785"/>
    <w:rsid w:val="7D2C597D"/>
    <w:rsid w:val="7D6B047B"/>
    <w:rsid w:val="7EA4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6412</Words>
  <Characters>7543</Characters>
  <Lines>74</Lines>
  <Paragraphs>21</Paragraphs>
  <TotalTime>2</TotalTime>
  <ScaleCrop>false</ScaleCrop>
  <LinksUpToDate>false</LinksUpToDate>
  <CharactersWithSpaces>9168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ElTaBIr</cp:lastModifiedBy>
  <cp:lastPrinted>2020-02-02T02:56:00Z</cp:lastPrinted>
  <dcterms:modified xsi:type="dcterms:W3CDTF">2021-05-20T03:51:46Z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00F4C24D5A914E808E7D1D40B102E9E4</vt:lpwstr>
  </property>
</Properties>
</file>