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中心血站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jc w:val="both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20" w:firstLineChars="1200"/>
        <w:jc w:val="both"/>
        <w:textAlignment w:val="auto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textAlignment w:val="auto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血站依据《血站管理办法》、《血站质量管理规范》和《血站实验室质量管理规范》《血站技术操作规程2015版》及国家适用法律法规、行业规范和标准开展采供血各项业务工作，规范管理血站质量体系，保证质量管理体系的有效运行。任务是：在上级单位的指导下，负责为全州60万人，辖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家医疗机构提供安全有效充足的血液制品，进一步加大血液质量控制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加强对全州各医疗机构储血点(输血科)的业务指导和质量控制工作，督促检查各用血机构安全输血工作，召开全州血液管理质量控制工作会议，确保临床用血安全。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克州中心血站无下属预算单位，下设3个科室，分别是：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办公室、体采科、检验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单位编制数15，实有人数1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人；退休4人，增加或减少0人；离休0人，增加或减少0人。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179.88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179.88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469.88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339.88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469.88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469.88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469.88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单位：万元</w:t>
      </w:r>
    </w:p>
    <w:tbl>
      <w:tblPr>
        <w:tblStyle w:val="7"/>
        <w:tblW w:w="10717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126"/>
        <w:gridCol w:w="820"/>
        <w:gridCol w:w="816"/>
        <w:gridCol w:w="680"/>
        <w:gridCol w:w="680"/>
        <w:gridCol w:w="680"/>
        <w:gridCol w:w="524"/>
        <w:gridCol w:w="767"/>
        <w:gridCol w:w="709"/>
        <w:gridCol w:w="417"/>
        <w:gridCol w:w="1043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采供血机构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469.88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179.88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469.88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179.88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6"/>
        <w:gridCol w:w="416"/>
        <w:gridCol w:w="2548"/>
        <w:gridCol w:w="1828"/>
        <w:gridCol w:w="1829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采供血机构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469.88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459.88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469.88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459.88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179.88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179.88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179.88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179.88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179.88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179.88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179.88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克州中心血站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采供血机构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179.88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169.88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179.88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169.88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12362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41"/>
        <w:gridCol w:w="3112"/>
        <w:gridCol w:w="774"/>
        <w:gridCol w:w="706"/>
        <w:gridCol w:w="976"/>
        <w:gridCol w:w="559"/>
        <w:gridCol w:w="1867"/>
        <w:gridCol w:w="2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370" w:hRule="atLeast"/>
        </w:trPr>
        <w:tc>
          <w:tcPr>
            <w:tcW w:w="9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5" w:hRule="atLeast"/>
        </w:trPr>
        <w:tc>
          <w:tcPr>
            <w:tcW w:w="4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克州中心血站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275" w:hRule="atLeast"/>
        </w:trPr>
        <w:tc>
          <w:tcPr>
            <w:tcW w:w="4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24" w:hRule="atLeas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1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10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1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236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退休费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2.57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2.57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租赁费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手续费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05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水费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办公用品及设备采购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机关事业单位基本养老保险缴费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16.1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16.1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基本工资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46.71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46.71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其他社会保障缴费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公务接待费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维修(护)费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差旅费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奖金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5.33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5.33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取暖费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3.72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培训费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办公费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0.68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公务用车运行维护费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津贴补贴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63.54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63.54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电费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奖励金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物业管理费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0.39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11.61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11.61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70" w:type="dxa"/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福利费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1.23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工会经费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0.68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0.68</w:t>
            </w:r>
          </w:p>
        </w:tc>
        <w:tc>
          <w:tcPr>
            <w:tcW w:w="28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印刷费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0.3</w:t>
            </w:r>
          </w:p>
        </w:tc>
        <w:tc>
          <w:tcPr>
            <w:tcW w:w="28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169.88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eastAsia="zh-CN" w:bidi="ar-SA"/>
              </w:rPr>
              <w:t>154.59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eastAsia="zh-CN" w:bidi="ar-SA"/>
              </w:rPr>
              <w:fldChar w:fldCharType="end"/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15.29</w:t>
            </w:r>
          </w:p>
        </w:tc>
        <w:tc>
          <w:tcPr>
            <w:tcW w:w="2870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625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6"/>
        <w:gridCol w:w="416"/>
        <w:gridCol w:w="416"/>
        <w:gridCol w:w="851"/>
        <w:gridCol w:w="1456"/>
        <w:gridCol w:w="750"/>
        <w:gridCol w:w="109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375" w:hRule="atLeast"/>
        </w:trPr>
        <w:tc>
          <w:tcPr>
            <w:tcW w:w="96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405" w:hRule="atLeast"/>
        </w:trPr>
        <w:tc>
          <w:tcPr>
            <w:tcW w:w="4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克州中心血站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采供血机构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献血屋租赁费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1.3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克州中心血站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562" w:firstLineChars="200"/>
        <w:outlineLvl w:val="1"/>
        <w:rPr>
          <w:rFonts w:hint="default" w:ascii="仿宋_GB2312" w:hAnsi="宋体" w:eastAsia="仿宋_GB2312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 w:val="0"/>
          <w:bCs/>
          <w:kern w:val="0"/>
          <w:sz w:val="24"/>
          <w:szCs w:val="24"/>
          <w:lang w:eastAsia="zh-CN"/>
        </w:rPr>
        <w:t>克州中心血站</w:t>
      </w:r>
      <w:r>
        <w:rPr>
          <w:rFonts w:hint="eastAsia" w:ascii="仿宋_GB2312" w:hAnsi="宋体" w:eastAsia="仿宋_GB2312"/>
          <w:b w:val="0"/>
          <w:bCs/>
          <w:kern w:val="0"/>
          <w:sz w:val="24"/>
          <w:szCs w:val="24"/>
          <w:lang w:val="en-US" w:eastAsia="zh-CN"/>
        </w:rPr>
        <w:t>2020年没有使用政府性基金预算拨款安排的支出，政府性基金预算支出情况表为空表。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134" w:bottom="1928" w:left="1247" w:header="851" w:footer="992" w:gutter="0"/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179.88万元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 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469.88万元。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469.88万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单位人员增加，工资福利待遇增大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政府性基金预算未安排。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主要原因是医院用血量近两年基本持平；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121.37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事业单位经营收入结余。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人员增加，工资福利待遇增大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上年预算安装全疆联网血费报销系统，但因全疆其他地州暂未实施，故今年预算没有安排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154.59万元 ，公用经费15.29万元，房屋租赁费用10万元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30.44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15.2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单位缩减开支，节约资金。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预算安排合理，未变动。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卫生健康支出（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卫生健康支出（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）公共卫生（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）采供血机构（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）：20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179.88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单位缩减开支，节约资金。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46.71万元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63.54万元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7.85万元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11.61万元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万元、物业管理费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情况一：项目支出、专项业务费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献血屋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租赁费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财政部门的审批文件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一般财政预算拨款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10万元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2020年4月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单位没有购车计划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单位无偿调入一辆公务用车，且单位车辆年限较长，维修费有所增加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预算无变动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169.88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单位职工人数增加，工资增加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158.6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万元，其中：政府采购货物预算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156.1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1486.7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151.35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克州中心血站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献血屋租赁费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设立固定献血点，方便献血者，增加无偿献血量，满足临床用血需求。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当年完成租赁费支付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当年完成租赁费100%支付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解决站外采血固定点问题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租赁130.211㎡的商铺作为固定采血点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租赁商铺符合外采设施要求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设施符合率100%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不造成任何环境污染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环境污染率0%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保障外采业务的正常开展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外采血液总量增加30%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提高无偿献血知晓率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无偿献血知晓率100%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不造成任何环境污染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环境污染率0%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提高献血者满意度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献血者满意度98%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提高用血单位满意度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用血单位满意度98%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租赁使用满意度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租赁使用满意度100%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numberInDash" w:start="19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克州中心血站无其他需说明的事项。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克孜勒苏柯尔克孜自治州中心血站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footerReference r:id="rId6" w:type="default"/>
      <w:pgSz w:w="11906" w:h="16838"/>
      <w:pgMar w:top="1985" w:right="1531" w:bottom="1843" w:left="1531" w:header="851" w:footer="992" w:gutter="0"/>
      <w:pgNumType w:fmt="numberInDash" w:start="20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411D9"/>
    <w:rsid w:val="005C42E0"/>
    <w:rsid w:val="008160EE"/>
    <w:rsid w:val="009D0AA2"/>
    <w:rsid w:val="00B22D8A"/>
    <w:rsid w:val="00D06D6F"/>
    <w:rsid w:val="00E469CA"/>
    <w:rsid w:val="00E62D82"/>
    <w:rsid w:val="00E7167C"/>
    <w:rsid w:val="00EA1202"/>
    <w:rsid w:val="025D2FE1"/>
    <w:rsid w:val="03076201"/>
    <w:rsid w:val="0330624A"/>
    <w:rsid w:val="034B7D45"/>
    <w:rsid w:val="04902260"/>
    <w:rsid w:val="04CD1609"/>
    <w:rsid w:val="06883958"/>
    <w:rsid w:val="08744F93"/>
    <w:rsid w:val="08F12CAA"/>
    <w:rsid w:val="0A5511CA"/>
    <w:rsid w:val="0B215C54"/>
    <w:rsid w:val="0C39589D"/>
    <w:rsid w:val="0D410D9E"/>
    <w:rsid w:val="0D791454"/>
    <w:rsid w:val="0F754E3F"/>
    <w:rsid w:val="0F9631B7"/>
    <w:rsid w:val="0FF83BD2"/>
    <w:rsid w:val="10A83A9D"/>
    <w:rsid w:val="119C7DC3"/>
    <w:rsid w:val="131C1EC2"/>
    <w:rsid w:val="13DB79F8"/>
    <w:rsid w:val="147165F9"/>
    <w:rsid w:val="14767F61"/>
    <w:rsid w:val="14F37B38"/>
    <w:rsid w:val="151D694A"/>
    <w:rsid w:val="15235A22"/>
    <w:rsid w:val="15357E41"/>
    <w:rsid w:val="154D7970"/>
    <w:rsid w:val="15BE762A"/>
    <w:rsid w:val="170546E9"/>
    <w:rsid w:val="186E0E22"/>
    <w:rsid w:val="1A5B5525"/>
    <w:rsid w:val="1A8A44F7"/>
    <w:rsid w:val="1ADE2AEE"/>
    <w:rsid w:val="1B935927"/>
    <w:rsid w:val="1CDE4DA7"/>
    <w:rsid w:val="1CE56130"/>
    <w:rsid w:val="1DCC5343"/>
    <w:rsid w:val="1DD4707B"/>
    <w:rsid w:val="1F103DEC"/>
    <w:rsid w:val="204261F8"/>
    <w:rsid w:val="20907811"/>
    <w:rsid w:val="21072B7B"/>
    <w:rsid w:val="21351302"/>
    <w:rsid w:val="21421F91"/>
    <w:rsid w:val="23156A02"/>
    <w:rsid w:val="23B7542D"/>
    <w:rsid w:val="23B93BA8"/>
    <w:rsid w:val="24AB6B94"/>
    <w:rsid w:val="24B1794D"/>
    <w:rsid w:val="24BD361D"/>
    <w:rsid w:val="270F5117"/>
    <w:rsid w:val="27491841"/>
    <w:rsid w:val="27684E68"/>
    <w:rsid w:val="29FB6860"/>
    <w:rsid w:val="2AA92729"/>
    <w:rsid w:val="2CA00040"/>
    <w:rsid w:val="2CB97729"/>
    <w:rsid w:val="2D6F0FAA"/>
    <w:rsid w:val="2D747180"/>
    <w:rsid w:val="2D933505"/>
    <w:rsid w:val="2E404836"/>
    <w:rsid w:val="2E7F5F7B"/>
    <w:rsid w:val="2F5E5021"/>
    <w:rsid w:val="2FCB33FF"/>
    <w:rsid w:val="30190DAE"/>
    <w:rsid w:val="30211D58"/>
    <w:rsid w:val="30554474"/>
    <w:rsid w:val="309B4160"/>
    <w:rsid w:val="344B2962"/>
    <w:rsid w:val="3666604F"/>
    <w:rsid w:val="36B40788"/>
    <w:rsid w:val="377F6F0B"/>
    <w:rsid w:val="37C94C39"/>
    <w:rsid w:val="37DF4691"/>
    <w:rsid w:val="37E555A0"/>
    <w:rsid w:val="37F80779"/>
    <w:rsid w:val="3852209D"/>
    <w:rsid w:val="38CC42E6"/>
    <w:rsid w:val="38D145FE"/>
    <w:rsid w:val="39813AEE"/>
    <w:rsid w:val="39C0012A"/>
    <w:rsid w:val="3A0639A1"/>
    <w:rsid w:val="3A3D30BA"/>
    <w:rsid w:val="3A535126"/>
    <w:rsid w:val="3A5E5304"/>
    <w:rsid w:val="3A981C26"/>
    <w:rsid w:val="3AED67C3"/>
    <w:rsid w:val="3D102F5B"/>
    <w:rsid w:val="3E6449E2"/>
    <w:rsid w:val="3E770AC9"/>
    <w:rsid w:val="3FEA6E5B"/>
    <w:rsid w:val="40E95A41"/>
    <w:rsid w:val="42A431A7"/>
    <w:rsid w:val="430556FC"/>
    <w:rsid w:val="439D071C"/>
    <w:rsid w:val="44347D1A"/>
    <w:rsid w:val="4491224A"/>
    <w:rsid w:val="44A346A4"/>
    <w:rsid w:val="45785AB2"/>
    <w:rsid w:val="46181658"/>
    <w:rsid w:val="462756A9"/>
    <w:rsid w:val="462F26A5"/>
    <w:rsid w:val="465D64E2"/>
    <w:rsid w:val="466F0B8F"/>
    <w:rsid w:val="473F3756"/>
    <w:rsid w:val="47DC44C6"/>
    <w:rsid w:val="48C267CB"/>
    <w:rsid w:val="48FF599A"/>
    <w:rsid w:val="4981550A"/>
    <w:rsid w:val="49D9174A"/>
    <w:rsid w:val="4B3A1676"/>
    <w:rsid w:val="4C1001FB"/>
    <w:rsid w:val="4C323D76"/>
    <w:rsid w:val="4C820E61"/>
    <w:rsid w:val="4C9763A8"/>
    <w:rsid w:val="4F5A7C15"/>
    <w:rsid w:val="4F950130"/>
    <w:rsid w:val="4FDA0DF3"/>
    <w:rsid w:val="50271454"/>
    <w:rsid w:val="509B689D"/>
    <w:rsid w:val="524A41A4"/>
    <w:rsid w:val="52EF6122"/>
    <w:rsid w:val="53392461"/>
    <w:rsid w:val="53394627"/>
    <w:rsid w:val="54034A16"/>
    <w:rsid w:val="54C12D9F"/>
    <w:rsid w:val="55562F64"/>
    <w:rsid w:val="557D0044"/>
    <w:rsid w:val="55AF3A97"/>
    <w:rsid w:val="562C3AA4"/>
    <w:rsid w:val="56A76C13"/>
    <w:rsid w:val="56EB6E91"/>
    <w:rsid w:val="57DD2487"/>
    <w:rsid w:val="580C5B7C"/>
    <w:rsid w:val="589B20A2"/>
    <w:rsid w:val="58BC5002"/>
    <w:rsid w:val="598F0D96"/>
    <w:rsid w:val="5A094E58"/>
    <w:rsid w:val="5A0D1ACA"/>
    <w:rsid w:val="5A187FA7"/>
    <w:rsid w:val="5AF36401"/>
    <w:rsid w:val="5B4B04AD"/>
    <w:rsid w:val="5C184858"/>
    <w:rsid w:val="5C953F81"/>
    <w:rsid w:val="5C9A5FE1"/>
    <w:rsid w:val="5CE95358"/>
    <w:rsid w:val="5D41768B"/>
    <w:rsid w:val="5D4265A2"/>
    <w:rsid w:val="5D91404F"/>
    <w:rsid w:val="5DC56991"/>
    <w:rsid w:val="5DD22F13"/>
    <w:rsid w:val="5E23348A"/>
    <w:rsid w:val="5E495425"/>
    <w:rsid w:val="5E7406DC"/>
    <w:rsid w:val="5E8B5A0C"/>
    <w:rsid w:val="5FB54B02"/>
    <w:rsid w:val="603328C1"/>
    <w:rsid w:val="60463F90"/>
    <w:rsid w:val="61590949"/>
    <w:rsid w:val="61AE3F72"/>
    <w:rsid w:val="621D70CF"/>
    <w:rsid w:val="62A65344"/>
    <w:rsid w:val="62E53ABB"/>
    <w:rsid w:val="63496159"/>
    <w:rsid w:val="63D17B4A"/>
    <w:rsid w:val="64CB1F60"/>
    <w:rsid w:val="65500228"/>
    <w:rsid w:val="655B2D7A"/>
    <w:rsid w:val="65725894"/>
    <w:rsid w:val="65837DD2"/>
    <w:rsid w:val="6714392B"/>
    <w:rsid w:val="67660F96"/>
    <w:rsid w:val="67A7044C"/>
    <w:rsid w:val="68ED3E8B"/>
    <w:rsid w:val="68EF3CB6"/>
    <w:rsid w:val="697B41C4"/>
    <w:rsid w:val="69C83A3E"/>
    <w:rsid w:val="6C061BAB"/>
    <w:rsid w:val="6CCB318C"/>
    <w:rsid w:val="6CEC6718"/>
    <w:rsid w:val="6D9E2AB4"/>
    <w:rsid w:val="6E6A4193"/>
    <w:rsid w:val="6E8531A1"/>
    <w:rsid w:val="6FAA4A32"/>
    <w:rsid w:val="6FC53A16"/>
    <w:rsid w:val="705B21CB"/>
    <w:rsid w:val="70860479"/>
    <w:rsid w:val="70AB3D25"/>
    <w:rsid w:val="70BB4AA5"/>
    <w:rsid w:val="71937B5D"/>
    <w:rsid w:val="72594B60"/>
    <w:rsid w:val="725C1221"/>
    <w:rsid w:val="72E5473A"/>
    <w:rsid w:val="7310210E"/>
    <w:rsid w:val="732E3D1F"/>
    <w:rsid w:val="738D4A50"/>
    <w:rsid w:val="74195C08"/>
    <w:rsid w:val="752D4DD8"/>
    <w:rsid w:val="75357594"/>
    <w:rsid w:val="753D35EC"/>
    <w:rsid w:val="78885C65"/>
    <w:rsid w:val="7896634D"/>
    <w:rsid w:val="789932F3"/>
    <w:rsid w:val="78B13911"/>
    <w:rsid w:val="78CF1C6F"/>
    <w:rsid w:val="790B5468"/>
    <w:rsid w:val="79AF616D"/>
    <w:rsid w:val="79D86303"/>
    <w:rsid w:val="7A913795"/>
    <w:rsid w:val="7AD54484"/>
    <w:rsid w:val="7B300322"/>
    <w:rsid w:val="7B756291"/>
    <w:rsid w:val="7BB22AE2"/>
    <w:rsid w:val="7BD8374C"/>
    <w:rsid w:val="7C5D122C"/>
    <w:rsid w:val="7C6572E5"/>
    <w:rsid w:val="7CAF4518"/>
    <w:rsid w:val="7D2D2A6F"/>
    <w:rsid w:val="7DEF18F0"/>
    <w:rsid w:val="7EB633CD"/>
    <w:rsid w:val="7F5076BA"/>
    <w:rsid w:val="7F5860AD"/>
    <w:rsid w:val="7F6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13</TotalTime>
  <ScaleCrop>false</ScaleCrop>
  <LinksUpToDate>false</LinksUpToDate>
  <CharactersWithSpaces>10542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2020-01-22T08:46:00Z</cp:lastPrinted>
  <dcterms:modified xsi:type="dcterms:W3CDTF">2021-05-18T09:10:09Z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D0E29EAEFAF6442586F229BD39DEBE8A</vt:lpwstr>
  </property>
</Properties>
</file>