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/>
    <w:p/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克孜勒苏柯尔克孜自治州广播电视局2020年部门预算公开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460" w:lineRule="exact"/>
        <w:ind w:firstLine="900" w:firstLineChars="250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  <w:r>
        <w:rPr>
          <w:rFonts w:hint="eastAsia" w:ascii="黑体" w:hAnsi="黑体" w:eastAsia="黑体"/>
          <w:kern w:val="0"/>
          <w:sz w:val="36"/>
          <w:szCs w:val="32"/>
        </w:rPr>
        <w:t>目 录</w:t>
      </w:r>
    </w:p>
    <w:p>
      <w:pPr>
        <w:widowControl/>
        <w:spacing w:line="460" w:lineRule="exact"/>
        <w:ind w:firstLine="900" w:firstLineChars="250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第一部分  克州广播电视局单位概况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一、主要职能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二、机构设置及人员情况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第二部分 2020年克州广播电视局预算公开表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一、克州广播电视局收支总体情况表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二、克州广播电视局收入总体情况表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三、克州广播电视局支出总体情况表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四、财政拨款收支总体情况表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第三部分2020年克州广播电视局预算情况说明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一、关于克州广播电视局2020年收支预算情况的总体说明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二、关于克州广播电视局2020年收入预算情况说明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三、关于克州广播电视局2020年支出预算情况说明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bCs/>
          <w:w w:val="90"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四、</w:t>
      </w:r>
      <w:r>
        <w:rPr>
          <w:rFonts w:hint="eastAsia" w:ascii="仿宋_GB2312" w:hAnsi="宋体" w:eastAsia="仿宋_GB2312"/>
          <w:bCs/>
          <w:w w:val="90"/>
          <w:kern w:val="0"/>
          <w:sz w:val="32"/>
          <w:szCs w:val="32"/>
        </w:rPr>
        <w:t>关于</w:t>
      </w:r>
      <w:r>
        <w:rPr>
          <w:rFonts w:hint="eastAsia" w:ascii="仿宋_GB2312" w:hAnsi="宋体" w:eastAsia="仿宋_GB2312"/>
          <w:w w:val="90"/>
          <w:kern w:val="0"/>
          <w:sz w:val="32"/>
          <w:szCs w:val="32"/>
        </w:rPr>
        <w:t>克州广播电视局2020年</w:t>
      </w:r>
      <w:r>
        <w:rPr>
          <w:rFonts w:hint="eastAsia" w:ascii="仿宋_GB2312" w:hAnsi="宋体" w:eastAsia="仿宋_GB2312"/>
          <w:bCs/>
          <w:w w:val="90"/>
          <w:kern w:val="0"/>
          <w:sz w:val="32"/>
          <w:szCs w:val="32"/>
        </w:rPr>
        <w:t>财政拨款收支预算情况的总体说明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w w:val="90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</w:t>
      </w:r>
      <w:r>
        <w:rPr>
          <w:rFonts w:hint="eastAsia" w:ascii="仿宋_GB2312" w:hAnsi="宋体" w:eastAsia="仿宋_GB2312"/>
          <w:w w:val="90"/>
          <w:kern w:val="0"/>
          <w:sz w:val="32"/>
          <w:szCs w:val="32"/>
        </w:rPr>
        <w:t>关于克州广播电视局2020年一般公共预算当年拨款情况说明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w w:val="90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</w:t>
      </w:r>
      <w:r>
        <w:rPr>
          <w:rFonts w:hint="eastAsia" w:ascii="仿宋_GB2312" w:hAnsi="宋体" w:eastAsia="仿宋_GB2312"/>
          <w:w w:val="90"/>
          <w:kern w:val="0"/>
          <w:sz w:val="32"/>
          <w:szCs w:val="32"/>
        </w:rPr>
        <w:t>关于克州广播电视局2020年一般公共预算基本支出情况说明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七、关于克州广播电视局2020年项目支出情况说明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w w:val="80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</w:t>
      </w:r>
      <w:r>
        <w:rPr>
          <w:rFonts w:hint="eastAsia" w:ascii="仿宋_GB2312" w:hAnsi="宋体" w:eastAsia="仿宋_GB2312"/>
          <w:w w:val="80"/>
          <w:kern w:val="0"/>
          <w:sz w:val="32"/>
          <w:szCs w:val="32"/>
        </w:rPr>
        <w:t>关于克州广播电视局2020年一般公共预算“三公”经费预算情况说明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九、关于克州广播电视局2020年政府性基金预算拨款情况说明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十、其他重要事项的情况说明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  名词解释</w:t>
      </w: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第一部分   克州广播电视局单位概况</w:t>
      </w:r>
    </w:p>
    <w:p>
      <w:pPr>
        <w:widowControl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>
      <w:pPr>
        <w:widowControl/>
        <w:spacing w:line="560" w:lineRule="exact"/>
        <w:ind w:firstLine="630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一、主要职能</w:t>
      </w:r>
    </w:p>
    <w:p>
      <w:pPr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(-)贯彻党的宣传方针政策,落实广播电视、网络视听节目服务管理的政策措施,加强广播电视阵地管理,把握正确的舆论导向和创作导向。</w:t>
      </w:r>
    </w:p>
    <w:p>
      <w:pPr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(二)参与起草广播电视、网络视听节目服务管理的地方性法律法规草案和规章,执行行业标准并组织实施和监督检查,指导、推进广播电视领域的体制机制改革。</w:t>
      </w:r>
    </w:p>
    <w:p>
      <w:pPr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（三)贯彻落实广播电视领域事业发展政策和规划,组织实施公共服务重大公益工程和公益活动,指导、监督广播电视重点基础设施建设,重点扶助边远贫困地区少数民族广播电视建设和发展。</w:t>
      </w:r>
    </w:p>
    <w:p>
      <w:pPr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(四)指导、协调、推动广播电视领域产业发展,贯彻落实发展规划、产业政策。</w:t>
      </w:r>
    </w:p>
    <w:p>
      <w:pPr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(五)负责对各类广播电视机构进行业务指导和行业监管,会同有关部门对网络视听节目服务机构进行管理。实施依法设定的行政许可,组织查处重大违法违规行为。</w:t>
      </w:r>
    </w:p>
    <w:p>
      <w:pPr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六)指导电视剧行业发展和电视剧创作生产。监督管理、审查广播电视节目、网络视听节目的内容和质量,协调组织和推动少数民族广播电视精品创作生产。指导、监管广播电视广告播放,负责对境外卫星电视节目接收的监管。</w:t>
      </w:r>
    </w:p>
    <w:p>
      <w:pPr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(七)指导、协调广播电视全州性重大宣传活动,指导实施广播电视节目评价工作。</w:t>
      </w:r>
    </w:p>
    <w:p>
      <w:pPr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(八)负责推进广播电视与新媒体新技术新业态融合发展,推进广电网与电信网、互联网三网融合。</w:t>
      </w:r>
    </w:p>
    <w:p>
      <w:pPr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(九)贯彻落实广播电视科技发展规划、政策和行业技术标准并组织监督检查。负责对广播电视节目传输覆盖、监测和安全播出进行监管,指导、推进应急广播体系建设。指导、协调广播电视系统安全和保卫工作。</w:t>
      </w:r>
    </w:p>
    <w:p>
      <w:pPr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(+)开展广播电视国际交流与合作,协调推动广播电视领域走出去工作,负责广播电视节目的进口、收录和管理。</w:t>
      </w:r>
    </w:p>
    <w:p>
      <w:pPr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(十一)指导广播电视、网络视听行业人才队伍建设。</w:t>
      </w:r>
    </w:p>
    <w:p>
      <w:pPr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(十二)按照“管行业必须管安全、管业务必须管安全”的要求,对本行业领域安全生产负行业监管(行业主管)职责,组织开展本行业领域安全生产宣传教育、日常监督检查工作。</w:t>
      </w:r>
    </w:p>
    <w:p>
      <w:pPr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(十三)完成自治州党委、自治州人民政府交办的其他任务。第四条自 广播电视局设下列内设机构:</w:t>
      </w:r>
    </w:p>
    <w:p>
      <w:pPr>
        <w:spacing w:line="520" w:lineRule="exact"/>
        <w:ind w:firstLine="640" w:firstLineChars="200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二、机构设置及人员情况</w:t>
      </w:r>
    </w:p>
    <w:p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克孜勒苏柯尔克孜自治州</w:t>
      </w:r>
      <w:r>
        <w:rPr>
          <w:rFonts w:hint="eastAsia" w:ascii="仿宋_GB2312" w:eastAsia="仿宋_GB2312"/>
          <w:sz w:val="32"/>
          <w:szCs w:val="32"/>
        </w:rPr>
        <w:t>广播电视局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无下属预算单位，下设2个处室，分别是：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农服中心，译制中心。</w:t>
      </w:r>
    </w:p>
    <w:p>
      <w:pPr>
        <w:spacing w:line="520" w:lineRule="exact"/>
        <w:ind w:firstLine="640" w:firstLineChars="200"/>
        <w:jc w:val="left"/>
        <w:rPr>
          <w:rFonts w:ascii="黑体" w:hAnsi="黑体" w:eastAsia="黑体" w:cs="宋体"/>
          <w:bCs/>
          <w:kern w:val="0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克孜勒苏柯尔克孜自治州</w:t>
      </w:r>
      <w:r>
        <w:rPr>
          <w:rFonts w:hint="eastAsia" w:ascii="仿宋_GB2312" w:eastAsia="仿宋_GB2312"/>
          <w:sz w:val="32"/>
          <w:szCs w:val="32"/>
          <w:highlight w:val="none"/>
        </w:rPr>
        <w:t>广播电视局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 xml:space="preserve">编制数 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17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，实有人数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人，其中：在职5人，增加或减少0人； 退休18人，增加或减少0人；离休1人，增加或减少0人；</w:t>
      </w:r>
    </w:p>
    <w:p>
      <w:pPr>
        <w:widowControl/>
        <w:ind w:firstLine="1920" w:firstLineChars="600"/>
        <w:outlineLvl w:val="1"/>
        <w:rPr>
          <w:rFonts w:hint="eastAsia" w:ascii="黑体" w:hAnsi="黑体" w:eastAsia="黑体"/>
          <w:kern w:val="0"/>
          <w:sz w:val="32"/>
          <w:szCs w:val="32"/>
          <w:highlight w:val="none"/>
        </w:rPr>
      </w:pPr>
    </w:p>
    <w:p>
      <w:pPr>
        <w:widowControl/>
        <w:ind w:firstLine="1920" w:firstLineChars="6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第二部分  2020年部门预算公开表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表一：</w:t>
      </w:r>
    </w:p>
    <w:p>
      <w:pPr>
        <w:widowControl/>
        <w:spacing w:before="120" w:beforeLines="50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部门收支总体情况表</w:t>
      </w:r>
    </w:p>
    <w:p>
      <w:pPr>
        <w:widowControl/>
        <w:ind w:firstLine="240" w:firstLineChars="100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编制部门：克州广播电视局                                  单位：万元</w:t>
      </w:r>
    </w:p>
    <w:tbl>
      <w:tblPr>
        <w:tblStyle w:val="10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988"/>
        <w:gridCol w:w="2693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收     入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支     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296.74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296.74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教育收费（财政专户）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上级补助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776.11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上级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专项收入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138.70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09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保险基金支出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资本经营预算支出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435.44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776.11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单位上年结余（不包括国库集中支付额度结余）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340.67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776.11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合  计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776.11　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表二：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部门收入总体情况表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填报部门：克州广播电视局                                         单位：万元</w:t>
      </w:r>
    </w:p>
    <w:tbl>
      <w:tblPr>
        <w:tblStyle w:val="10"/>
        <w:tblW w:w="9067" w:type="dxa"/>
        <w:tblInd w:w="-1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51"/>
        <w:gridCol w:w="451"/>
        <w:gridCol w:w="416"/>
        <w:gridCol w:w="851"/>
        <w:gridCol w:w="851"/>
        <w:gridCol w:w="534"/>
        <w:gridCol w:w="567"/>
        <w:gridCol w:w="567"/>
        <w:gridCol w:w="416"/>
        <w:gridCol w:w="425"/>
        <w:gridCol w:w="709"/>
        <w:gridCol w:w="851"/>
        <w:gridCol w:w="559"/>
        <w:gridCol w:w="8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总  计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5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政府性基金预算拨款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财政专户管理资金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4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上级补助收入</w:t>
            </w: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其他收入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上级</w:t>
            </w:r>
            <w:r>
              <w:rPr>
                <w:rFonts w:ascii="仿宋_GB2312" w:eastAsia="仿宋_GB2312"/>
                <w:b/>
                <w:color w:val="000000"/>
                <w:sz w:val="20"/>
                <w:szCs w:val="20"/>
              </w:rPr>
              <w:t>专项收入</w:t>
            </w:r>
          </w:p>
        </w:tc>
        <w:tc>
          <w:tcPr>
            <w:tcW w:w="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用事业基金弥补收支差额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单位上年结余（不包括国库集中支付额度结余）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类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款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项</w:t>
            </w:r>
          </w:p>
        </w:tc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207　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08　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04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广播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776.11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296.74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138.70</w:t>
            </w:r>
          </w:p>
        </w:tc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340.67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776.11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296.74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138.70</w:t>
            </w:r>
          </w:p>
        </w:tc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340.67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表三：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部门支出总体情况表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编制部门：克州广播电视局                                       单位：万元</w:t>
      </w:r>
    </w:p>
    <w:tbl>
      <w:tblPr>
        <w:tblStyle w:val="10"/>
        <w:tblW w:w="9420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400"/>
        <w:gridCol w:w="400"/>
        <w:gridCol w:w="2581"/>
        <w:gridCol w:w="1845"/>
        <w:gridCol w:w="1846"/>
        <w:gridCol w:w="18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55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4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84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8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5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6"/>
                <w:szCs w:val="16"/>
              </w:rPr>
              <w:t>207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6"/>
                <w:szCs w:val="16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6"/>
                <w:szCs w:val="16"/>
              </w:rPr>
              <w:t>99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其他广播电视支出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469.37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469.37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6"/>
                <w:szCs w:val="16"/>
              </w:rPr>
              <w:t>207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6"/>
                <w:szCs w:val="16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6"/>
                <w:szCs w:val="16"/>
              </w:rPr>
              <w:t>04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广播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　306.74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306.74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　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776.11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306.74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469.37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表四：</w:t>
      </w:r>
    </w:p>
    <w:p>
      <w:pPr>
        <w:widowControl/>
        <w:spacing w:before="120" w:beforeLines="50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财政拨款收支预算总体情况表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编制部门：</w:t>
      </w:r>
      <w:r>
        <w:rPr>
          <w:rFonts w:hint="eastAsia" w:ascii="仿宋_GB2312" w:hAnsi="宋体" w:eastAsia="仿宋_GB2312"/>
          <w:kern w:val="0"/>
          <w:sz w:val="24"/>
        </w:rPr>
        <w:t>克州广播电视局</w:t>
      </w:r>
      <w:r>
        <w:rPr>
          <w:rFonts w:hint="eastAsia" w:ascii="仿宋_GB2312" w:hAnsi="宋体" w:eastAsia="仿宋_GB2312"/>
          <w:kern w:val="0"/>
          <w:sz w:val="28"/>
          <w:szCs w:val="28"/>
        </w:rPr>
        <w:t xml:space="preserve">                              单位：万元</w:t>
      </w:r>
    </w:p>
    <w:tbl>
      <w:tblPr>
        <w:tblStyle w:val="10"/>
        <w:tblW w:w="94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2"/>
        <w:gridCol w:w="979"/>
        <w:gridCol w:w="2632"/>
        <w:gridCol w:w="844"/>
        <w:gridCol w:w="1051"/>
        <w:gridCol w:w="156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财政拨款收入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财政拨款支出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功能分类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一般公共预算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政府性基金预算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一、财政拨款（补助）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296.74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201 一般公共服务支出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一般公共预算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296.74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 外交支出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政府性基金预算</w:t>
            </w:r>
          </w:p>
        </w:tc>
        <w:tc>
          <w:tcPr>
            <w:tcW w:w="9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203 国防支出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204 公共安全支出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205 教育支出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206 科学技术支出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207 文化体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旅游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育与传媒支出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296.74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296.74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208 社会保障和就业支出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209 社会保险基金支出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210 医疗卫生与计划生育支出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211 节能环保支出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212 城乡社区支出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213 农林水支出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214 交通运输支出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215 资源勘探信息等支出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216 商业服务业等支出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217 金融支出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219 援助其他地区支出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220 国土资源气象等支出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221 住房保障支出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222 粮油物资管理支出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224 灾害防治及应急管理支出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223 国有资本经营预算支出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227 预备费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229 其他支出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231 债务还本支出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232 债务付息支出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233 债务发行费支出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  年  收  入  小  计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296.74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  年  支  出  小  计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296.74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296.74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单位上年结余（不包含国库集中支付额度结余）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340.67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230 转移性支出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收      入      总      计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296.74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   出  总   计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296.74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296.74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0.00</w:t>
            </w:r>
          </w:p>
        </w:tc>
      </w:tr>
    </w:tbl>
    <w:p>
      <w:pPr>
        <w:widowControl/>
        <w:spacing w:before="120" w:beforeLines="50"/>
        <w:outlineLvl w:val="1"/>
        <w:rPr>
          <w:rFonts w:ascii="仿宋_GB2312" w:hAnsi="宋体" w:eastAsia="仿宋_GB2312"/>
          <w:kern w:val="0"/>
          <w:sz w:val="28"/>
          <w:szCs w:val="28"/>
        </w:rPr>
      </w:pPr>
    </w:p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表五：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一般公共预算支出情况表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编制部门：</w:t>
      </w:r>
      <w:r>
        <w:rPr>
          <w:rFonts w:hint="eastAsia" w:ascii="仿宋_GB2312" w:hAnsi="宋体" w:eastAsia="仿宋_GB2312"/>
          <w:kern w:val="0"/>
          <w:sz w:val="24"/>
        </w:rPr>
        <w:t xml:space="preserve">克州广播电视局                                       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单位：万元</w:t>
      </w:r>
    </w:p>
    <w:tbl>
      <w:tblPr>
        <w:tblStyle w:val="10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92"/>
        <w:gridCol w:w="417"/>
        <w:gridCol w:w="2510"/>
        <w:gridCol w:w="1684"/>
        <w:gridCol w:w="1842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52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84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5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6"/>
                <w:szCs w:val="16"/>
              </w:rPr>
              <w:t>207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6"/>
                <w:szCs w:val="16"/>
              </w:rPr>
              <w:t>08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6"/>
                <w:szCs w:val="16"/>
              </w:rPr>
              <w:t>04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广播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296.74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296.74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296.74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296.74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表六：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ind w:firstLine="2249" w:firstLineChars="700"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一般公共预算基本支出情况表</w:t>
      </w:r>
    </w:p>
    <w:tbl>
      <w:tblPr>
        <w:tblStyle w:val="10"/>
        <w:tblW w:w="10026" w:type="dxa"/>
        <w:tblInd w:w="-1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4"/>
        <w:gridCol w:w="240"/>
        <w:gridCol w:w="236"/>
        <w:gridCol w:w="2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克州广播电视局         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tbl>
            <w:tblPr>
              <w:tblStyle w:val="10"/>
              <w:tblW w:w="8660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16"/>
              <w:gridCol w:w="1305"/>
              <w:gridCol w:w="1614"/>
              <w:gridCol w:w="1235"/>
              <w:gridCol w:w="1255"/>
              <w:gridCol w:w="1735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</w:trPr>
              <w:tc>
                <w:tcPr>
                  <w:tcW w:w="282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经济分类科目编码</w:t>
                  </w:r>
                </w:p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14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经济分类科目名称</w:t>
                  </w:r>
                </w:p>
              </w:tc>
              <w:tc>
                <w:tcPr>
                  <w:tcW w:w="123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小计</w:t>
                  </w:r>
                </w:p>
              </w:tc>
              <w:tc>
                <w:tcPr>
                  <w:tcW w:w="299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一般公共预算支出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</w:trPr>
              <w:tc>
                <w:tcPr>
                  <w:tcW w:w="1516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类</w:t>
                  </w:r>
                </w:p>
              </w:tc>
              <w:tc>
                <w:tcPr>
                  <w:tcW w:w="130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款</w:t>
                  </w:r>
                </w:p>
              </w:tc>
              <w:tc>
                <w:tcPr>
                  <w:tcW w:w="161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3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5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人员经费</w:t>
                  </w:r>
                </w:p>
              </w:tc>
              <w:tc>
                <w:tcPr>
                  <w:tcW w:w="173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公用经费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</w:trPr>
              <w:tc>
                <w:tcPr>
                  <w:tcW w:w="151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0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1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3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5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3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</w:trPr>
              <w:tc>
                <w:tcPr>
                  <w:tcW w:w="1516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**</w:t>
                  </w:r>
                </w:p>
              </w:tc>
              <w:tc>
                <w:tcPr>
                  <w:tcW w:w="1305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**</w:t>
                  </w:r>
                </w:p>
              </w:tc>
              <w:tc>
                <w:tcPr>
                  <w:tcW w:w="1614" w:type="dxa"/>
                  <w:tcBorders>
                    <w:top w:val="single" w:color="000000" w:sz="4" w:space="0"/>
                    <w:left w:val="nil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**</w:t>
                  </w:r>
                </w:p>
              </w:tc>
              <w:tc>
                <w:tcPr>
                  <w:tcW w:w="1235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1</w:t>
                  </w:r>
                </w:p>
              </w:tc>
              <w:tc>
                <w:tcPr>
                  <w:tcW w:w="1255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2</w:t>
                  </w:r>
                </w:p>
              </w:tc>
              <w:tc>
                <w:tcPr>
                  <w:tcW w:w="1735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</w:trPr>
              <w:tc>
                <w:tcPr>
                  <w:tcW w:w="15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color w:val="000000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6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合计</w:t>
                  </w:r>
                </w:p>
              </w:tc>
              <w:tc>
                <w:tcPr>
                  <w:tcW w:w="12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296.74</w:t>
                  </w:r>
                </w:p>
              </w:tc>
              <w:tc>
                <w:tcPr>
                  <w:tcW w:w="12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284.59</w:t>
                  </w:r>
                </w:p>
              </w:tc>
              <w:tc>
                <w:tcPr>
                  <w:tcW w:w="1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12.15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</w:trPr>
              <w:tc>
                <w:tcPr>
                  <w:tcW w:w="15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302</w:t>
                  </w:r>
                </w:p>
              </w:tc>
              <w:tc>
                <w:tcPr>
                  <w:tcW w:w="13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01</w:t>
                  </w:r>
                </w:p>
              </w:tc>
              <w:tc>
                <w:tcPr>
                  <w:tcW w:w="16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办公费</w:t>
                  </w:r>
                </w:p>
              </w:tc>
              <w:tc>
                <w:tcPr>
                  <w:tcW w:w="12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1.70</w:t>
                  </w:r>
                </w:p>
              </w:tc>
              <w:tc>
                <w:tcPr>
                  <w:tcW w:w="12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1.70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</w:trPr>
              <w:tc>
                <w:tcPr>
                  <w:tcW w:w="15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301</w:t>
                  </w:r>
                </w:p>
              </w:tc>
              <w:tc>
                <w:tcPr>
                  <w:tcW w:w="13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6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奖金</w:t>
                  </w:r>
                </w:p>
              </w:tc>
              <w:tc>
                <w:tcPr>
                  <w:tcW w:w="12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6.62</w:t>
                  </w:r>
                </w:p>
              </w:tc>
              <w:tc>
                <w:tcPr>
                  <w:tcW w:w="12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6.62</w:t>
                  </w:r>
                </w:p>
              </w:tc>
              <w:tc>
                <w:tcPr>
                  <w:tcW w:w="1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</w:trPr>
              <w:tc>
                <w:tcPr>
                  <w:tcW w:w="15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301</w:t>
                  </w:r>
                </w:p>
              </w:tc>
              <w:tc>
                <w:tcPr>
                  <w:tcW w:w="13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01</w:t>
                  </w:r>
                </w:p>
              </w:tc>
              <w:tc>
                <w:tcPr>
                  <w:tcW w:w="16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基本工资</w:t>
                  </w:r>
                </w:p>
              </w:tc>
              <w:tc>
                <w:tcPr>
                  <w:tcW w:w="12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79.41</w:t>
                  </w:r>
                </w:p>
              </w:tc>
              <w:tc>
                <w:tcPr>
                  <w:tcW w:w="12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79.41</w:t>
                  </w:r>
                </w:p>
              </w:tc>
              <w:tc>
                <w:tcPr>
                  <w:tcW w:w="1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</w:trPr>
              <w:tc>
                <w:tcPr>
                  <w:tcW w:w="15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303</w:t>
                  </w:r>
                </w:p>
              </w:tc>
              <w:tc>
                <w:tcPr>
                  <w:tcW w:w="13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02</w:t>
                  </w:r>
                </w:p>
              </w:tc>
              <w:tc>
                <w:tcPr>
                  <w:tcW w:w="16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退休费</w:t>
                  </w:r>
                </w:p>
              </w:tc>
              <w:tc>
                <w:tcPr>
                  <w:tcW w:w="12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13.93</w:t>
                  </w:r>
                </w:p>
              </w:tc>
              <w:tc>
                <w:tcPr>
                  <w:tcW w:w="12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13.93</w:t>
                  </w:r>
                </w:p>
              </w:tc>
              <w:tc>
                <w:tcPr>
                  <w:tcW w:w="1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</w:trPr>
              <w:tc>
                <w:tcPr>
                  <w:tcW w:w="15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303</w:t>
                  </w:r>
                </w:p>
              </w:tc>
              <w:tc>
                <w:tcPr>
                  <w:tcW w:w="13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01</w:t>
                  </w:r>
                </w:p>
              </w:tc>
              <w:tc>
                <w:tcPr>
                  <w:tcW w:w="16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离休费</w:t>
                  </w:r>
                </w:p>
              </w:tc>
              <w:tc>
                <w:tcPr>
                  <w:tcW w:w="12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14.98</w:t>
                  </w:r>
                </w:p>
              </w:tc>
              <w:tc>
                <w:tcPr>
                  <w:tcW w:w="12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14.98</w:t>
                  </w:r>
                </w:p>
              </w:tc>
              <w:tc>
                <w:tcPr>
                  <w:tcW w:w="1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</w:trPr>
              <w:tc>
                <w:tcPr>
                  <w:tcW w:w="15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302</w:t>
                  </w:r>
                </w:p>
              </w:tc>
              <w:tc>
                <w:tcPr>
                  <w:tcW w:w="13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09</w:t>
                  </w:r>
                </w:p>
              </w:tc>
              <w:tc>
                <w:tcPr>
                  <w:tcW w:w="16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物业管理费</w:t>
                  </w:r>
                </w:p>
              </w:tc>
              <w:tc>
                <w:tcPr>
                  <w:tcW w:w="12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2.20</w:t>
                  </w:r>
                </w:p>
              </w:tc>
              <w:tc>
                <w:tcPr>
                  <w:tcW w:w="12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2.20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</w:trPr>
              <w:tc>
                <w:tcPr>
                  <w:tcW w:w="15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302</w:t>
                  </w:r>
                </w:p>
              </w:tc>
              <w:tc>
                <w:tcPr>
                  <w:tcW w:w="13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07</w:t>
                  </w:r>
                </w:p>
              </w:tc>
              <w:tc>
                <w:tcPr>
                  <w:tcW w:w="16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邮电费</w:t>
                  </w:r>
                </w:p>
              </w:tc>
              <w:tc>
                <w:tcPr>
                  <w:tcW w:w="12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0.30</w:t>
                  </w:r>
                </w:p>
              </w:tc>
              <w:tc>
                <w:tcPr>
                  <w:tcW w:w="12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0.30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</w:trPr>
              <w:tc>
                <w:tcPr>
                  <w:tcW w:w="15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302</w:t>
                  </w:r>
                </w:p>
              </w:tc>
              <w:tc>
                <w:tcPr>
                  <w:tcW w:w="13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05</w:t>
                  </w:r>
                </w:p>
              </w:tc>
              <w:tc>
                <w:tcPr>
                  <w:tcW w:w="16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水费</w:t>
                  </w:r>
                </w:p>
              </w:tc>
              <w:tc>
                <w:tcPr>
                  <w:tcW w:w="12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0.10</w:t>
                  </w:r>
                </w:p>
              </w:tc>
              <w:tc>
                <w:tcPr>
                  <w:tcW w:w="12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0.10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</w:trPr>
              <w:tc>
                <w:tcPr>
                  <w:tcW w:w="15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302</w:t>
                  </w:r>
                </w:p>
              </w:tc>
              <w:tc>
                <w:tcPr>
                  <w:tcW w:w="13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06</w:t>
                  </w:r>
                </w:p>
              </w:tc>
              <w:tc>
                <w:tcPr>
                  <w:tcW w:w="16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电费</w:t>
                  </w:r>
                </w:p>
              </w:tc>
              <w:tc>
                <w:tcPr>
                  <w:tcW w:w="12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0.60</w:t>
                  </w:r>
                </w:p>
              </w:tc>
              <w:tc>
                <w:tcPr>
                  <w:tcW w:w="12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0.60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</w:trPr>
              <w:tc>
                <w:tcPr>
                  <w:tcW w:w="15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303</w:t>
                  </w:r>
                </w:p>
              </w:tc>
              <w:tc>
                <w:tcPr>
                  <w:tcW w:w="13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99</w:t>
                  </w:r>
                </w:p>
              </w:tc>
              <w:tc>
                <w:tcPr>
                  <w:tcW w:w="16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其他对个人和家庭的补助</w:t>
                  </w:r>
                </w:p>
              </w:tc>
              <w:tc>
                <w:tcPr>
                  <w:tcW w:w="12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2.16</w:t>
                  </w:r>
                </w:p>
              </w:tc>
              <w:tc>
                <w:tcPr>
                  <w:tcW w:w="12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2.16</w:t>
                  </w:r>
                </w:p>
              </w:tc>
              <w:tc>
                <w:tcPr>
                  <w:tcW w:w="1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</w:trPr>
              <w:tc>
                <w:tcPr>
                  <w:tcW w:w="15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303</w:t>
                  </w:r>
                </w:p>
              </w:tc>
              <w:tc>
                <w:tcPr>
                  <w:tcW w:w="13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09</w:t>
                  </w:r>
                </w:p>
              </w:tc>
              <w:tc>
                <w:tcPr>
                  <w:tcW w:w="16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奖励金</w:t>
                  </w:r>
                </w:p>
              </w:tc>
              <w:tc>
                <w:tcPr>
                  <w:tcW w:w="12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1.97</w:t>
                  </w:r>
                </w:p>
              </w:tc>
              <w:tc>
                <w:tcPr>
                  <w:tcW w:w="12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1.97</w:t>
                  </w:r>
                </w:p>
              </w:tc>
              <w:tc>
                <w:tcPr>
                  <w:tcW w:w="1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</w:trPr>
              <w:tc>
                <w:tcPr>
                  <w:tcW w:w="15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302</w:t>
                  </w:r>
                </w:p>
              </w:tc>
              <w:tc>
                <w:tcPr>
                  <w:tcW w:w="13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15</w:t>
                  </w:r>
                </w:p>
              </w:tc>
              <w:tc>
                <w:tcPr>
                  <w:tcW w:w="16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会议费</w:t>
                  </w:r>
                </w:p>
              </w:tc>
              <w:tc>
                <w:tcPr>
                  <w:tcW w:w="12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0.50</w:t>
                  </w:r>
                </w:p>
              </w:tc>
              <w:tc>
                <w:tcPr>
                  <w:tcW w:w="12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0.50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</w:trPr>
              <w:tc>
                <w:tcPr>
                  <w:tcW w:w="15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302</w:t>
                  </w:r>
                </w:p>
              </w:tc>
              <w:tc>
                <w:tcPr>
                  <w:tcW w:w="13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11</w:t>
                  </w:r>
                </w:p>
              </w:tc>
              <w:tc>
                <w:tcPr>
                  <w:tcW w:w="16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差旅费</w:t>
                  </w:r>
                </w:p>
              </w:tc>
              <w:tc>
                <w:tcPr>
                  <w:tcW w:w="12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1.00</w:t>
                  </w:r>
                </w:p>
              </w:tc>
              <w:tc>
                <w:tcPr>
                  <w:tcW w:w="12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1.00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</w:trPr>
              <w:tc>
                <w:tcPr>
                  <w:tcW w:w="15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301</w:t>
                  </w:r>
                </w:p>
              </w:tc>
              <w:tc>
                <w:tcPr>
                  <w:tcW w:w="13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13</w:t>
                  </w:r>
                </w:p>
              </w:tc>
              <w:tc>
                <w:tcPr>
                  <w:tcW w:w="16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住房公积金</w:t>
                  </w:r>
                </w:p>
              </w:tc>
              <w:tc>
                <w:tcPr>
                  <w:tcW w:w="12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18.74</w:t>
                  </w:r>
                </w:p>
              </w:tc>
              <w:tc>
                <w:tcPr>
                  <w:tcW w:w="12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18.74</w:t>
                  </w:r>
                </w:p>
              </w:tc>
              <w:tc>
                <w:tcPr>
                  <w:tcW w:w="1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</w:trPr>
              <w:tc>
                <w:tcPr>
                  <w:tcW w:w="15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301</w:t>
                  </w:r>
                </w:p>
              </w:tc>
              <w:tc>
                <w:tcPr>
                  <w:tcW w:w="13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12</w:t>
                  </w:r>
                </w:p>
              </w:tc>
              <w:tc>
                <w:tcPr>
                  <w:tcW w:w="16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其他社会保障缴费</w:t>
                  </w:r>
                </w:p>
              </w:tc>
              <w:tc>
                <w:tcPr>
                  <w:tcW w:w="12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20.73</w:t>
                  </w:r>
                </w:p>
              </w:tc>
              <w:tc>
                <w:tcPr>
                  <w:tcW w:w="12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20.73</w:t>
                  </w:r>
                </w:p>
              </w:tc>
              <w:tc>
                <w:tcPr>
                  <w:tcW w:w="1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</w:trPr>
              <w:tc>
                <w:tcPr>
                  <w:tcW w:w="15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301</w:t>
                  </w:r>
                </w:p>
              </w:tc>
              <w:tc>
                <w:tcPr>
                  <w:tcW w:w="13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08</w:t>
                  </w:r>
                </w:p>
              </w:tc>
              <w:tc>
                <w:tcPr>
                  <w:tcW w:w="16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机关事业单位基本养老保险缴费</w:t>
                  </w:r>
                </w:p>
              </w:tc>
              <w:tc>
                <w:tcPr>
                  <w:tcW w:w="12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26.04</w:t>
                  </w:r>
                </w:p>
              </w:tc>
              <w:tc>
                <w:tcPr>
                  <w:tcW w:w="12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26.04</w:t>
                  </w:r>
                </w:p>
              </w:tc>
              <w:tc>
                <w:tcPr>
                  <w:tcW w:w="1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</w:trPr>
              <w:tc>
                <w:tcPr>
                  <w:tcW w:w="15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301</w:t>
                  </w:r>
                </w:p>
              </w:tc>
              <w:tc>
                <w:tcPr>
                  <w:tcW w:w="13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02</w:t>
                  </w:r>
                </w:p>
              </w:tc>
              <w:tc>
                <w:tcPr>
                  <w:tcW w:w="16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津贴补贴</w:t>
                  </w:r>
                </w:p>
              </w:tc>
              <w:tc>
                <w:tcPr>
                  <w:tcW w:w="12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100.03</w:t>
                  </w:r>
                </w:p>
              </w:tc>
              <w:tc>
                <w:tcPr>
                  <w:tcW w:w="12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100.03</w:t>
                  </w:r>
                </w:p>
              </w:tc>
              <w:tc>
                <w:tcPr>
                  <w:tcW w:w="1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</w:trPr>
              <w:tc>
                <w:tcPr>
                  <w:tcW w:w="15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302</w:t>
                  </w:r>
                </w:p>
              </w:tc>
              <w:tc>
                <w:tcPr>
                  <w:tcW w:w="13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31</w:t>
                  </w:r>
                </w:p>
              </w:tc>
              <w:tc>
                <w:tcPr>
                  <w:tcW w:w="16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公务用车运行维护费</w:t>
                  </w:r>
                </w:p>
              </w:tc>
              <w:tc>
                <w:tcPr>
                  <w:tcW w:w="12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2.10</w:t>
                  </w:r>
                </w:p>
              </w:tc>
              <w:tc>
                <w:tcPr>
                  <w:tcW w:w="12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2.10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</w:trPr>
              <w:tc>
                <w:tcPr>
                  <w:tcW w:w="15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302</w:t>
                  </w:r>
                </w:p>
              </w:tc>
              <w:tc>
                <w:tcPr>
                  <w:tcW w:w="13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29</w:t>
                  </w:r>
                </w:p>
              </w:tc>
              <w:tc>
                <w:tcPr>
                  <w:tcW w:w="16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福利费</w:t>
                  </w:r>
                </w:p>
              </w:tc>
              <w:tc>
                <w:tcPr>
                  <w:tcW w:w="12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2.03</w:t>
                  </w:r>
                </w:p>
              </w:tc>
              <w:tc>
                <w:tcPr>
                  <w:tcW w:w="12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2.03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</w:trPr>
              <w:tc>
                <w:tcPr>
                  <w:tcW w:w="15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302</w:t>
                  </w:r>
                </w:p>
              </w:tc>
              <w:tc>
                <w:tcPr>
                  <w:tcW w:w="13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28</w:t>
                  </w:r>
                </w:p>
              </w:tc>
              <w:tc>
                <w:tcPr>
                  <w:tcW w:w="16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工会经费</w:t>
                  </w:r>
                </w:p>
              </w:tc>
              <w:tc>
                <w:tcPr>
                  <w:tcW w:w="12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1.13</w:t>
                  </w:r>
                </w:p>
              </w:tc>
              <w:tc>
                <w:tcPr>
                  <w:tcW w:w="12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1.13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atLeast"/>
              </w:trPr>
              <w:tc>
                <w:tcPr>
                  <w:tcW w:w="15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302</w:t>
                  </w:r>
                </w:p>
              </w:tc>
              <w:tc>
                <w:tcPr>
                  <w:tcW w:w="13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17</w:t>
                  </w:r>
                </w:p>
              </w:tc>
              <w:tc>
                <w:tcPr>
                  <w:tcW w:w="16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公务接待费</w:t>
                  </w:r>
                </w:p>
              </w:tc>
              <w:tc>
                <w:tcPr>
                  <w:tcW w:w="12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0.50</w:t>
                  </w:r>
                </w:p>
              </w:tc>
              <w:tc>
                <w:tcPr>
                  <w:tcW w:w="12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0.50</w:t>
                  </w:r>
                </w:p>
              </w:tc>
            </w:tr>
          </w:tbl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表七：</w:t>
      </w:r>
    </w:p>
    <w:tbl>
      <w:tblPr>
        <w:tblStyle w:val="10"/>
        <w:tblW w:w="10740" w:type="dxa"/>
        <w:tblInd w:w="-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"/>
        <w:gridCol w:w="681"/>
        <w:gridCol w:w="535"/>
        <w:gridCol w:w="536"/>
        <w:gridCol w:w="1250"/>
        <w:gridCol w:w="1406"/>
        <w:gridCol w:w="850"/>
        <w:gridCol w:w="110"/>
        <w:gridCol w:w="399"/>
        <w:gridCol w:w="850"/>
        <w:gridCol w:w="651"/>
        <w:gridCol w:w="651"/>
        <w:gridCol w:w="378"/>
        <w:gridCol w:w="199"/>
        <w:gridCol w:w="419"/>
        <w:gridCol w:w="577"/>
        <w:gridCol w:w="419"/>
        <w:gridCol w:w="420"/>
        <w:gridCol w:w="389"/>
        <w:gridCol w:w="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4" w:type="dxa"/>
          <w:wAfter w:w="6" w:type="dxa"/>
          <w:trHeight w:val="415" w:hRule="atLeast"/>
        </w:trPr>
        <w:tc>
          <w:tcPr>
            <w:tcW w:w="107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4" w:type="dxa"/>
          <w:wAfter w:w="6" w:type="dxa"/>
          <w:trHeight w:val="405" w:hRule="atLeast"/>
        </w:trPr>
        <w:tc>
          <w:tcPr>
            <w:tcW w:w="53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克州广播电视局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24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960" w:firstLineChars="4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76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12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40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09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7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1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395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</w:trPr>
        <w:tc>
          <w:tcPr>
            <w:tcW w:w="695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5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53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1250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406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69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207</w:t>
            </w:r>
          </w:p>
        </w:tc>
        <w:tc>
          <w:tcPr>
            <w:tcW w:w="535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08</w:t>
            </w:r>
          </w:p>
        </w:tc>
        <w:tc>
          <w:tcPr>
            <w:tcW w:w="536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99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其他广播电视支出</w:t>
            </w:r>
          </w:p>
        </w:tc>
        <w:tc>
          <w:tcPr>
            <w:tcW w:w="1406" w:type="dxa"/>
            <w:shd w:val="clear" w:color="auto" w:fill="auto"/>
          </w:tcPr>
          <w:p>
            <w:pPr>
              <w:widowControl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译制费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469.37</w:t>
            </w:r>
          </w:p>
        </w:tc>
        <w:tc>
          <w:tcPr>
            <w:tcW w:w="50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469.37</w:t>
            </w:r>
          </w:p>
        </w:tc>
        <w:tc>
          <w:tcPr>
            <w:tcW w:w="6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5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95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2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06" w:type="dxa"/>
            <w:shd w:val="clear" w:color="auto" w:fill="auto"/>
          </w:tcPr>
          <w:p>
            <w:pPr>
              <w:widowControl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0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5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95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2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06" w:type="dxa"/>
            <w:shd w:val="clear" w:color="auto" w:fill="auto"/>
          </w:tcPr>
          <w:p>
            <w:pPr>
              <w:widowControl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0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5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95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2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06" w:type="dxa"/>
            <w:shd w:val="clear" w:color="auto" w:fill="auto"/>
          </w:tcPr>
          <w:p>
            <w:pPr>
              <w:widowControl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0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5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95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2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06" w:type="dxa"/>
            <w:shd w:val="clear" w:color="auto" w:fill="auto"/>
          </w:tcPr>
          <w:p>
            <w:pPr>
              <w:widowControl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0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5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95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2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06" w:type="dxa"/>
            <w:shd w:val="clear" w:color="auto" w:fill="auto"/>
          </w:tcPr>
          <w:p>
            <w:pPr>
              <w:widowControl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0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5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95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2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06" w:type="dxa"/>
            <w:shd w:val="clear" w:color="auto" w:fill="auto"/>
          </w:tcPr>
          <w:p>
            <w:pPr>
              <w:widowControl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0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5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95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2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06" w:type="dxa"/>
            <w:shd w:val="clear" w:color="auto" w:fill="auto"/>
          </w:tcPr>
          <w:p>
            <w:pPr>
              <w:widowControl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0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5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95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2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06" w:type="dxa"/>
            <w:shd w:val="clear" w:color="auto" w:fill="auto"/>
          </w:tcPr>
          <w:p>
            <w:pPr>
              <w:widowControl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0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5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95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2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06" w:type="dxa"/>
            <w:shd w:val="clear" w:color="auto" w:fill="auto"/>
          </w:tcPr>
          <w:p>
            <w:pPr>
              <w:widowControl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　</w:t>
            </w:r>
          </w:p>
        </w:tc>
        <w:tc>
          <w:tcPr>
            <w:tcW w:w="8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0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5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695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2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0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8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0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5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695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2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0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0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5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95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2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06" w:type="dxa"/>
            <w:shd w:val="clear" w:color="auto" w:fill="auto"/>
          </w:tcPr>
          <w:p>
            <w:pPr>
              <w:widowControl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0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5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95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2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06" w:type="dxa"/>
            <w:shd w:val="clear" w:color="auto" w:fill="auto"/>
          </w:tcPr>
          <w:p>
            <w:pPr>
              <w:widowControl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0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5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95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2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06" w:type="dxa"/>
            <w:shd w:val="clear" w:color="auto" w:fill="auto"/>
          </w:tcPr>
          <w:p>
            <w:pPr>
              <w:widowControl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0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5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695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2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0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0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5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95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2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06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合计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469.37</w:t>
            </w:r>
          </w:p>
        </w:tc>
        <w:tc>
          <w:tcPr>
            <w:tcW w:w="50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469.37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6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5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表八：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一般公共预算“三公”经费支出情况表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编制单位：克州广播电视局                                      单位：万元</w:t>
      </w:r>
    </w:p>
    <w:tbl>
      <w:tblPr>
        <w:tblStyle w:val="10"/>
        <w:tblW w:w="9240" w:type="dxa"/>
        <w:tblInd w:w="-1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71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2.60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2.10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yellow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yellow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yellow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yellow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yellow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yellow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yellow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yellow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yellow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yellow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表九：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政府性基金预算支出情况表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编制单位：克州广播电视局                                       单位：万元</w:t>
      </w:r>
    </w:p>
    <w:tbl>
      <w:tblPr>
        <w:tblStyle w:val="10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457"/>
        <w:gridCol w:w="457"/>
        <w:gridCol w:w="2896"/>
        <w:gridCol w:w="1559"/>
        <w:gridCol w:w="1701"/>
        <w:gridCol w:w="15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8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</w:t>
      </w:r>
      <w:r>
        <w:rPr>
          <w:rFonts w:hint="eastAsia" w:ascii="仿宋_GB2312" w:hAnsi="宋体" w:eastAsia="仿宋_GB2312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本单位未安排政府性基金预算</w:t>
      </w:r>
      <w:r>
        <w:rPr>
          <w:rFonts w:hint="eastAsia" w:ascii="仿宋_GB2312" w:hAnsi="宋体" w:eastAsia="仿宋_GB2312"/>
          <w:b/>
          <w:kern w:val="0"/>
          <w:sz w:val="28"/>
          <w:szCs w:val="32"/>
        </w:rPr>
        <w:t>。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18" w:bottom="1928" w:left="1588" w:header="851" w:footer="992" w:gutter="0"/>
          <w:pgNumType w:fmt="numberInDash"/>
          <w:cols w:space="720" w:num="1"/>
          <w:titlePg/>
          <w:docGrid w:linePitch="312" w:charSpace="0"/>
        </w:sectPr>
      </w:pPr>
    </w:p>
    <w:p>
      <w:pPr>
        <w:widowControl/>
        <w:spacing w:before="156" w:beforeLines="50"/>
        <w:ind w:firstLine="1920" w:firstLineChars="6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第三部分 2020年部门预算情况说明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宋体" w:eastAsia="黑体" w:cs="宋体"/>
          <w:kern w:val="0"/>
          <w:sz w:val="32"/>
          <w:szCs w:val="32"/>
        </w:rPr>
        <w:t>关于克州广播电视局2020年收支预算情况的总体说明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按照全口径预算的原则，克州广播电视局2020年所有收入和支出均纳入部门预算管理。收支总预算776.11万元；上级专项资金138.70万元；上年结余340.67万元。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收入预算包括：一般公共预算296.74万元；上级专项资金138.70万元；上年结余340.67万元。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支出预算包括：译制费支出776.11万元。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  <w:highlight w:val="none"/>
        </w:rPr>
      </w:pPr>
      <w:r>
        <w:rPr>
          <w:rFonts w:hint="eastAsia" w:ascii="黑体" w:hAnsi="宋体" w:eastAsia="黑体" w:cs="宋体"/>
          <w:kern w:val="0"/>
          <w:sz w:val="32"/>
          <w:szCs w:val="32"/>
          <w:highlight w:val="none"/>
        </w:rPr>
        <w:t>二、关于克州广播电视局2020年收入预算情况说明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克州广播电视局收入预算776.11万元，其中：</w:t>
      </w:r>
    </w:p>
    <w:p>
      <w:pPr>
        <w:widowControl/>
        <w:spacing w:line="580" w:lineRule="exact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一般公共预算296.74万元，占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38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%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;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 xml:space="preserve">比上年增加（减少） 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万元，主要原因是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2019年机构改革新成立单位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 xml:space="preserve">。   </w:t>
      </w:r>
    </w:p>
    <w:p>
      <w:pPr>
        <w:widowControl/>
        <w:spacing w:line="540" w:lineRule="exact"/>
        <w:ind w:firstLine="640"/>
        <w:jc w:val="left"/>
        <w:rPr>
          <w:rFonts w:ascii="黑体" w:hAnsi="宋体" w:eastAsia="黑体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宋体" w:eastAsia="黑体" w:cs="宋体"/>
          <w:color w:val="auto"/>
          <w:kern w:val="0"/>
          <w:sz w:val="32"/>
          <w:szCs w:val="32"/>
          <w:highlight w:val="none"/>
        </w:rPr>
        <w:t>三、关于克州广播电视局2020年支出预算情况说明</w:t>
      </w:r>
    </w:p>
    <w:p>
      <w:pPr>
        <w:widowControl/>
        <w:spacing w:line="540" w:lineRule="exact"/>
        <w:ind w:firstLine="64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克州广播电视局2020年支出预算776.11万元，其中：</w:t>
      </w:r>
    </w:p>
    <w:p>
      <w:pPr>
        <w:widowControl/>
        <w:spacing w:line="580" w:lineRule="exact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基本支出306.74万元，占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39.53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 xml:space="preserve">%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;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比上年增加306.74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万元，主要原因是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2019年机构改革新成立单位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 xml:space="preserve">。 </w:t>
      </w:r>
    </w:p>
    <w:p>
      <w:pPr>
        <w:widowControl/>
        <w:spacing w:line="580" w:lineRule="exact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项目支出469.37万元，占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60.47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%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;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比上年增加469.37万元，主要原因是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2019年机构改革新成立单位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 xml:space="preserve">。  </w:t>
      </w:r>
    </w:p>
    <w:p>
      <w:pPr>
        <w:widowControl/>
        <w:spacing w:line="540" w:lineRule="exact"/>
        <w:ind w:firstLine="640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四、关于克州广播电视局2020年财政拨款收支预算情况的总体说明</w:t>
      </w:r>
    </w:p>
    <w:p>
      <w:pPr>
        <w:spacing w:line="54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2020年财政拨款收支总预算776.11万元。</w:t>
      </w:r>
    </w:p>
    <w:p>
      <w:pPr>
        <w:spacing w:line="540" w:lineRule="exact"/>
        <w:ind w:firstLine="640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收入全部为一般公共预算拨款，无政府性基金预算拨款。</w:t>
      </w:r>
    </w:p>
    <w:p>
      <w:pPr>
        <w:widowControl/>
        <w:spacing w:line="54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五、关于克州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广播电视局</w:t>
      </w:r>
      <w:r>
        <w:rPr>
          <w:rFonts w:hint="eastAsia" w:ascii="黑体" w:hAnsi="宋体" w:eastAsia="黑体" w:cs="宋体"/>
          <w:kern w:val="0"/>
          <w:sz w:val="32"/>
          <w:szCs w:val="32"/>
        </w:rPr>
        <w:t>2020年一般公共预算当年拨款情况说明</w:t>
      </w:r>
    </w:p>
    <w:p>
      <w:pPr>
        <w:widowControl/>
        <w:spacing w:line="54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（一）一般公用预算当年拨款规模变化情况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克州广播电视局2020年一般公共预算拨款基本支出776.11万元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,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比上年执行数增加776.11万元，增长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%。主要原因是：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2019年机构改革新成立单位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 xml:space="preserve">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（二）一般公共预算当年拨款结构情况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FF0000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1.一般公共服务207（类）296.74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,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38.23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（三）一般公共预算当年拨款具体使用情况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bookmarkStart w:id="0" w:name="_GoBack"/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1.一般公共服务207（类）财政事务08（款）行政运行04（项）:2020年预算数为776.11万元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;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比上年执行数增加776.11万元，增长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%。主要原因是：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2019年机构改革新成立单位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微软雅黑" w:eastAsia="仿宋_GB2312" w:cs="Arial"/>
          <w:color w:val="000000"/>
          <w:kern w:val="0"/>
          <w:sz w:val="32"/>
          <w:szCs w:val="32"/>
          <w:highlight w:val="none"/>
        </w:rPr>
        <w:t>。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  <w:highlight w:val="none"/>
        </w:rPr>
        <w:t>六、关于克州</w:t>
      </w:r>
      <w:r>
        <w:rPr>
          <w:rFonts w:hint="eastAsia" w:ascii="黑体" w:hAnsi="黑体" w:eastAsia="黑体" w:cs="宋体"/>
          <w:bCs/>
          <w:kern w:val="0"/>
          <w:sz w:val="32"/>
          <w:szCs w:val="32"/>
          <w:highlight w:val="none"/>
        </w:rPr>
        <w:t>广</w:t>
      </w:r>
      <w:bookmarkEnd w:id="0"/>
      <w:r>
        <w:rPr>
          <w:rFonts w:hint="eastAsia" w:ascii="黑体" w:hAnsi="黑体" w:eastAsia="黑体" w:cs="宋体"/>
          <w:bCs/>
          <w:kern w:val="0"/>
          <w:sz w:val="32"/>
          <w:szCs w:val="32"/>
        </w:rPr>
        <w:t>播电视局</w:t>
      </w:r>
      <w:r>
        <w:rPr>
          <w:rFonts w:hint="eastAsia" w:ascii="黑体" w:hAnsi="宋体" w:eastAsia="黑体" w:cs="宋体"/>
          <w:kern w:val="0"/>
          <w:sz w:val="32"/>
          <w:szCs w:val="32"/>
        </w:rPr>
        <w:t>2020年一般公共预算基本支出情况说明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克州广播电视局2020年一般公共预算基本支出776.11万元，其中：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人员经费284.59万元，主要包括：基本工资79.41万元、津贴补贴100.03万元、奖金6.62万元、机关事业单位基本养老保险缴费26.04万元、其他社会保障缴费20.73万元、住房公积金18.74万元、退休费13.93万元、离休费14.98 万元、奖励金1.97万元、对个人和家庭的补助2.16万元。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公用经费 12.15 万元，主要包括：办公费1.70万元、物业管理费2.20万元、差旅费1.00万元、公务接待费0.5万元、会议费0.50万元、工会经费1.13万元、福利费2.03万元、公务用车运行维护费2.10万元、邮电费0.30万元、水费0.10万元、电费0.60万元。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七、关于克州广播电视局2020年项目支出情况说明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1、项目名称：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译制经费</w:t>
      </w:r>
    </w:p>
    <w:p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设立的政策依据：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根据工作需要州领导审批。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预算安排规模：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469.37万元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项目承担单位：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克州广播电视局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资金分配情况：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主要用于翻译剧本，采购设备，新办公楼装修，招聘临时工等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资金执行时间：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2020全年</w:t>
      </w:r>
    </w:p>
    <w:p>
      <w:pPr>
        <w:widowControl/>
        <w:spacing w:line="580" w:lineRule="exact"/>
        <w:ind w:firstLine="642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八、关于克州广播电视局2020年一般公共预算“三公”经费预算情况说明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克州广播电视局2020年“三公”经费财政拨款预算数为2.60万元，其中：因公出国（境）费 0 万元，公务用车购置 0万元，公务用车运行费2.10万元，公务接待费 0.50万元。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克州广播电视局2019年“三公”经费财政拨款预算比上年减少0万元，其中：因公出国（境）费增加（减少）0 万元，主要原因是：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未安排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因公出国（境）；公务用车购置费为0，未安排预算。公务用车运行费减少0万元，主要原因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是经费压缩；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公务接待费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增加（减少）0 万元，主要原因是：与上年持平。</w:t>
      </w:r>
    </w:p>
    <w:p>
      <w:pPr>
        <w:widowControl/>
        <w:spacing w:line="580" w:lineRule="exact"/>
        <w:ind w:firstLine="642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九、关于克州广播电视局2020年政府性基金预算拨款情况说明</w:t>
      </w:r>
    </w:p>
    <w:p>
      <w:pPr>
        <w:widowControl/>
        <w:spacing w:line="560" w:lineRule="exact"/>
        <w:ind w:firstLine="480" w:firstLineChars="15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克州广播电视局2020年没有使用政府性基金预算拨款安排的支出，政府性基金预算支出情况表为空表。</w:t>
      </w:r>
    </w:p>
    <w:p>
      <w:pPr>
        <w:widowControl/>
        <w:spacing w:line="580" w:lineRule="exact"/>
        <w:ind w:firstLine="640" w:firstLineChars="20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十、其他重要事项的情况说明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（一）机关运行经费情况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2020年，克州广播电视局的机关运行经费财政拨款预算12.15万元，比上年预算增加0万元，增加0%。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（二）政府采购情况</w:t>
      </w:r>
    </w:p>
    <w:p>
      <w:pPr>
        <w:widowControl/>
        <w:spacing w:line="560" w:lineRule="exact"/>
        <w:ind w:firstLine="800" w:firstLineChars="25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2020年，自治州广播电视局政府采购预算354.27万元，其中：政府采购货物预算354.27万元，政府采购工程预算0万元，政府采购服务预算0万元。</w:t>
      </w:r>
    </w:p>
    <w:p>
      <w:pPr>
        <w:widowControl/>
        <w:spacing w:line="560" w:lineRule="exact"/>
        <w:ind w:firstLine="800" w:firstLineChars="25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2020年本部门面向中小企业预留政府采购项目预算金额0万元，其中：面向小微企业预留政府采购项目预算金额    0万元。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（三）国有资产占用使用情况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截至2019年底，克州广播电视局及下属各预算单位占用使用国有资产总体情况为：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1.房屋0平方米，价值281万元。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2.车辆1辆，价值29.62万元；其中：一般公务用车1辆，价值29.62万元。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3.办公家具价值33.31万元。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4.其他资产价值1145.27万元。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单位价值50万元以上大型设备 0 台（套），单位价值100万元以上大型设备 0 台（套）。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2020年克州广播电视局预算未安排购置车辆经费，安排购置50万元以上大型设备 0 台（套），单位价值100万元以上大型设备 0 台（套）。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2020年度，本年度实行绩效管理的项目1个，涉及预算金额469.37万元。具体情况见下表：</w:t>
      </w:r>
    </w:p>
    <w:p>
      <w:pPr>
        <w:widowControl/>
        <w:spacing w:line="58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10"/>
        <w:tblW w:w="1397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857"/>
        <w:gridCol w:w="2164"/>
        <w:gridCol w:w="1810"/>
        <w:gridCol w:w="1925"/>
        <w:gridCol w:w="249"/>
        <w:gridCol w:w="1132"/>
        <w:gridCol w:w="264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39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44"/>
                <w:szCs w:val="44"/>
              </w:rPr>
            </w:pPr>
            <w:r>
              <w:rPr>
                <w:rFonts w:hint="eastAsia" w:ascii="宋体" w:hAnsi="宋体" w:cs="宋体"/>
                <w:kern w:val="0"/>
                <w:sz w:val="44"/>
                <w:szCs w:val="44"/>
              </w:rPr>
              <w:t>项  目  支  出  绩  效  目  标  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克州广播电视局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译制费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469.23</w:t>
            </w:r>
          </w:p>
        </w:tc>
        <w:tc>
          <w:tcPr>
            <w:tcW w:w="1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469.23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严格落实译制节目初审、终审、技审的三审制度，使译制节目的质量得到有效的保证，青年干部已成为配音工作的中间力量，保证了配音工作有条不紊的进行，技术人员严格按照技术操作规范进行操作，为译制出优质作品提供有力的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翻译剧本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各项工作任务完成预计469.23元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各项业务完成时限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2020年1月1日-12月31日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译制影片完成量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≥250集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剧本配音量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≥250集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剧本翻译量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≥250集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克州电视台播放率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≥95%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新疆电视台播放率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≥95%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柯尔克孜族群众的文化生活效果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提高柯尔克孜族群众丰富文化生活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相关市场满意度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≥90%</w:t>
            </w:r>
          </w:p>
        </w:tc>
      </w:tr>
    </w:tbl>
    <w:p>
      <w:pPr>
        <w:widowControl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  <w:sectPr>
          <w:footerReference r:id="rId5" w:type="default"/>
          <w:pgSz w:w="16838" w:h="11906" w:orient="landscape"/>
          <w:pgMar w:top="1531" w:right="1985" w:bottom="1531" w:left="1843" w:header="851" w:footer="992" w:gutter="0"/>
          <w:pgNumType w:fmt="numberInDash" w:start="27"/>
          <w:cols w:space="425" w:num="1"/>
          <w:docGrid w:type="lines" w:linePitch="312" w:charSpace="640"/>
        </w:sectPr>
      </w:pPr>
    </w:p>
    <w:p>
      <w:pPr>
        <w:widowControl/>
        <w:spacing w:line="520" w:lineRule="exact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</w:p>
    <w:p>
      <w:pPr>
        <w:widowControl/>
        <w:spacing w:line="520" w:lineRule="exact"/>
        <w:ind w:firstLine="643" w:firstLineChars="200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（五）其他需说明的事项</w:t>
      </w:r>
    </w:p>
    <w:p>
      <w:pPr>
        <w:widowControl/>
        <w:spacing w:line="520" w:lineRule="exact"/>
        <w:ind w:firstLine="960" w:firstLineChars="3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无     </w:t>
      </w:r>
    </w:p>
    <w:p>
      <w:pPr>
        <w:widowControl/>
        <w:spacing w:before="156"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  名词解释</w:t>
      </w:r>
    </w:p>
    <w:p>
      <w:pPr>
        <w:widowControl/>
        <w:spacing w:line="520" w:lineRule="exact"/>
        <w:ind w:firstLine="480" w:firstLineChars="15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名词解释：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指由一般公共预算、政府性基金预算安排的财政拨款数。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二、一般公共预算：</w:t>
      </w:r>
      <w:r>
        <w:rPr>
          <w:rFonts w:hint="eastAsia" w:ascii="仿宋_GB2312" w:eastAsia="仿宋_GB2312"/>
          <w:spacing w:val="-6"/>
          <w:sz w:val="32"/>
          <w:szCs w:val="32"/>
        </w:rPr>
        <w:t>包括公共财政拨款（补助）资金、专项收入。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三、财政专户管理资金：</w:t>
      </w:r>
      <w:r>
        <w:rPr>
          <w:rFonts w:hint="eastAsia" w:ascii="仿宋_GB2312" w:eastAsia="仿宋_GB2312"/>
          <w:sz w:val="32"/>
          <w:szCs w:val="32"/>
        </w:rPr>
        <w:t>包括专户管理行政事业性收费（主要是教育收费）、其他非税收入。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四、其他资金：</w:t>
      </w:r>
      <w:r>
        <w:rPr>
          <w:rFonts w:hint="eastAsia" w:ascii="仿宋_GB2312" w:eastAsia="仿宋_GB2312"/>
          <w:sz w:val="32"/>
          <w:szCs w:val="32"/>
        </w:rPr>
        <w:t>包括事业收入、经营收入、其他收入等。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五、基本支出：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包括人员经费、商品和服务支出（定额）。其中，人员经费包括工资福利支出、对个人和家庭的补助。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六、项目支出：</w:t>
      </w:r>
      <w:r>
        <w:rPr>
          <w:rFonts w:hint="eastAsia" w:ascii="仿宋_GB2312" w:eastAsia="仿宋_GB2312"/>
          <w:sz w:val="32"/>
          <w:szCs w:val="32"/>
        </w:rPr>
        <w:t>部门支出预算的组成部分，是自治州本级部门为完成其特定的行政任务或事业发展目标，在基本支出预算之外编制的年度项目支出计划。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七、“三公”经费：</w:t>
      </w:r>
      <w:r>
        <w:rPr>
          <w:rFonts w:hint="eastAsia" w:ascii="仿宋_GB2312" w:eastAsia="仿宋_GB2312"/>
          <w:sz w:val="32"/>
          <w:szCs w:val="32"/>
        </w:rPr>
        <w:t>指自治州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八、机关运行经费：</w:t>
      </w:r>
      <w:r>
        <w:rPr>
          <w:rFonts w:hint="eastAsia" w:ascii="仿宋_GB2312" w:eastAsia="仿宋_GB2312"/>
          <w:sz w:val="32"/>
          <w:szCs w:val="32"/>
        </w:rPr>
        <w:t>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ind w:left="5120" w:hanging="5120" w:hangingChars="16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克孜勒苏柯尔克孜自治州广播电视局                                   2020 </w:t>
      </w:r>
      <w:r>
        <w:rPr>
          <w:rFonts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1</w:t>
      </w:r>
      <w:r>
        <w:rPr>
          <w:rFonts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</w:t>
      </w:r>
      <w:r>
        <w:rPr>
          <w:rFonts w:ascii="仿宋_GB2312" w:hAnsi="宋体" w:eastAsia="仿宋_GB2312" w:cs="宋体"/>
          <w:kern w:val="0"/>
          <w:sz w:val="32"/>
          <w:szCs w:val="32"/>
        </w:rPr>
        <w:t>日</w:t>
      </w:r>
    </w:p>
    <w:p/>
    <w:p/>
    <w:p>
      <w:pPr>
        <w:spacing w:line="560" w:lineRule="exact"/>
        <w:ind w:left="3150" w:leftChars="1500"/>
        <w:jc w:val="center"/>
        <w:rPr>
          <w:rFonts w:ascii="仿宋_GB2312" w:eastAsia="仿宋_GB2312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</w:pPr>
    </w:p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/>
    <w:sectPr>
      <w:footerReference r:id="rId6" w:type="default"/>
      <w:pgSz w:w="11906" w:h="16838"/>
      <w:pgMar w:top="1985" w:right="1531" w:bottom="1843" w:left="1531" w:header="851" w:footer="992" w:gutter="0"/>
      <w:pgNumType w:fmt="numberInDash" w:start="31"/>
      <w:cols w:space="425" w:num="1"/>
      <w:docGrid w:type="lines" w:linePitch="312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27 -</w:t>
    </w:r>
    <w:r>
      <w:rPr>
        <w:rFonts w:ascii="宋体" w:hAnsi="宋体"/>
        <w:sz w:val="28"/>
        <w:szCs w:val="28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32 -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isplayBackgroundShape w:val="1"/>
  <w:bordersDoNotSurroundHeader w:val="1"/>
  <w:bordersDoNotSurroundFooter w:val="1"/>
  <w:documentProtection w:enforcement="0"/>
  <w:defaultTabStop w:val="420"/>
  <w:drawingGridHorizontalSpacing w:val="213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D5"/>
    <w:rsid w:val="000012B1"/>
    <w:rsid w:val="000026D9"/>
    <w:rsid w:val="00012BEE"/>
    <w:rsid w:val="00012D28"/>
    <w:rsid w:val="000165AF"/>
    <w:rsid w:val="000214A2"/>
    <w:rsid w:val="00032AE8"/>
    <w:rsid w:val="000334EE"/>
    <w:rsid w:val="000343F0"/>
    <w:rsid w:val="00047AF3"/>
    <w:rsid w:val="00051E12"/>
    <w:rsid w:val="00065DEA"/>
    <w:rsid w:val="00072D2A"/>
    <w:rsid w:val="00073EE2"/>
    <w:rsid w:val="0008010A"/>
    <w:rsid w:val="000806EB"/>
    <w:rsid w:val="00082C51"/>
    <w:rsid w:val="000924BC"/>
    <w:rsid w:val="000B207C"/>
    <w:rsid w:val="000D56B0"/>
    <w:rsid w:val="000E7524"/>
    <w:rsid w:val="000F5B5D"/>
    <w:rsid w:val="00106382"/>
    <w:rsid w:val="00114DEC"/>
    <w:rsid w:val="00123571"/>
    <w:rsid w:val="00125E15"/>
    <w:rsid w:val="00126B14"/>
    <w:rsid w:val="00141E85"/>
    <w:rsid w:val="00144710"/>
    <w:rsid w:val="00147A92"/>
    <w:rsid w:val="00152BAB"/>
    <w:rsid w:val="00154713"/>
    <w:rsid w:val="001610C1"/>
    <w:rsid w:val="001623EE"/>
    <w:rsid w:val="00165169"/>
    <w:rsid w:val="001677BE"/>
    <w:rsid w:val="001920A9"/>
    <w:rsid w:val="001934F0"/>
    <w:rsid w:val="001B7674"/>
    <w:rsid w:val="001D550D"/>
    <w:rsid w:val="0020210A"/>
    <w:rsid w:val="00203EAA"/>
    <w:rsid w:val="002470B9"/>
    <w:rsid w:val="00252BB7"/>
    <w:rsid w:val="00252F8B"/>
    <w:rsid w:val="0025494C"/>
    <w:rsid w:val="00274DC1"/>
    <w:rsid w:val="002856B9"/>
    <w:rsid w:val="00290E6C"/>
    <w:rsid w:val="002A01A4"/>
    <w:rsid w:val="002A2FDF"/>
    <w:rsid w:val="002A74EE"/>
    <w:rsid w:val="002E0C53"/>
    <w:rsid w:val="002E1E86"/>
    <w:rsid w:val="002E3E44"/>
    <w:rsid w:val="002F134D"/>
    <w:rsid w:val="002F77C4"/>
    <w:rsid w:val="003230DE"/>
    <w:rsid w:val="00324290"/>
    <w:rsid w:val="00385199"/>
    <w:rsid w:val="00387451"/>
    <w:rsid w:val="003904D4"/>
    <w:rsid w:val="00395174"/>
    <w:rsid w:val="003A6294"/>
    <w:rsid w:val="003B080F"/>
    <w:rsid w:val="003D6F0D"/>
    <w:rsid w:val="00400E12"/>
    <w:rsid w:val="00417083"/>
    <w:rsid w:val="00421520"/>
    <w:rsid w:val="00426410"/>
    <w:rsid w:val="004306B5"/>
    <w:rsid w:val="00432267"/>
    <w:rsid w:val="00437950"/>
    <w:rsid w:val="00444052"/>
    <w:rsid w:val="004631FA"/>
    <w:rsid w:val="00480685"/>
    <w:rsid w:val="00481CD5"/>
    <w:rsid w:val="00483ADC"/>
    <w:rsid w:val="00484A84"/>
    <w:rsid w:val="004C07F3"/>
    <w:rsid w:val="004C2678"/>
    <w:rsid w:val="004C56EF"/>
    <w:rsid w:val="004E19E1"/>
    <w:rsid w:val="004E671F"/>
    <w:rsid w:val="00525EC2"/>
    <w:rsid w:val="00537793"/>
    <w:rsid w:val="00541CC7"/>
    <w:rsid w:val="005470C2"/>
    <w:rsid w:val="00571EA3"/>
    <w:rsid w:val="005836FF"/>
    <w:rsid w:val="00593947"/>
    <w:rsid w:val="005A4DB1"/>
    <w:rsid w:val="005B6DA6"/>
    <w:rsid w:val="005B75BB"/>
    <w:rsid w:val="005C42E0"/>
    <w:rsid w:val="005D6F37"/>
    <w:rsid w:val="005E07D6"/>
    <w:rsid w:val="005E0CD2"/>
    <w:rsid w:val="005E53EE"/>
    <w:rsid w:val="005E6FDF"/>
    <w:rsid w:val="005F3CA2"/>
    <w:rsid w:val="006052C3"/>
    <w:rsid w:val="00605B5A"/>
    <w:rsid w:val="00624626"/>
    <w:rsid w:val="0063201A"/>
    <w:rsid w:val="00632B57"/>
    <w:rsid w:val="00635C22"/>
    <w:rsid w:val="006411CE"/>
    <w:rsid w:val="00657574"/>
    <w:rsid w:val="006603E1"/>
    <w:rsid w:val="00680D92"/>
    <w:rsid w:val="00684074"/>
    <w:rsid w:val="006B2208"/>
    <w:rsid w:val="006B6BF6"/>
    <w:rsid w:val="006C4449"/>
    <w:rsid w:val="006E276E"/>
    <w:rsid w:val="006F76DE"/>
    <w:rsid w:val="007042B1"/>
    <w:rsid w:val="00721976"/>
    <w:rsid w:val="00722443"/>
    <w:rsid w:val="00752F87"/>
    <w:rsid w:val="0075593A"/>
    <w:rsid w:val="00757948"/>
    <w:rsid w:val="0076378C"/>
    <w:rsid w:val="00763CA8"/>
    <w:rsid w:val="00770CA9"/>
    <w:rsid w:val="00791003"/>
    <w:rsid w:val="007B6F7E"/>
    <w:rsid w:val="007C7D25"/>
    <w:rsid w:val="007E141E"/>
    <w:rsid w:val="007E4EAF"/>
    <w:rsid w:val="00814FA4"/>
    <w:rsid w:val="00815CED"/>
    <w:rsid w:val="008160EE"/>
    <w:rsid w:val="008208B1"/>
    <w:rsid w:val="0082173B"/>
    <w:rsid w:val="00840999"/>
    <w:rsid w:val="00872BD9"/>
    <w:rsid w:val="00886674"/>
    <w:rsid w:val="008B31F7"/>
    <w:rsid w:val="008D1E2B"/>
    <w:rsid w:val="008D5CB1"/>
    <w:rsid w:val="008E0B08"/>
    <w:rsid w:val="008F1506"/>
    <w:rsid w:val="008F1EC5"/>
    <w:rsid w:val="008F5A7F"/>
    <w:rsid w:val="00903DDA"/>
    <w:rsid w:val="00932F4F"/>
    <w:rsid w:val="009417A8"/>
    <w:rsid w:val="0094193B"/>
    <w:rsid w:val="0095670D"/>
    <w:rsid w:val="0096185A"/>
    <w:rsid w:val="009721A7"/>
    <w:rsid w:val="009813F7"/>
    <w:rsid w:val="009A1C27"/>
    <w:rsid w:val="009B48C2"/>
    <w:rsid w:val="009D0AA2"/>
    <w:rsid w:val="009E5D65"/>
    <w:rsid w:val="00A022CF"/>
    <w:rsid w:val="00A04ED0"/>
    <w:rsid w:val="00A15705"/>
    <w:rsid w:val="00A2517E"/>
    <w:rsid w:val="00A46790"/>
    <w:rsid w:val="00A765FD"/>
    <w:rsid w:val="00A826C8"/>
    <w:rsid w:val="00A85BD4"/>
    <w:rsid w:val="00A96A5E"/>
    <w:rsid w:val="00A97970"/>
    <w:rsid w:val="00AA03B3"/>
    <w:rsid w:val="00AA03D1"/>
    <w:rsid w:val="00AB2D34"/>
    <w:rsid w:val="00AB607A"/>
    <w:rsid w:val="00AD1363"/>
    <w:rsid w:val="00AE33F2"/>
    <w:rsid w:val="00B0557A"/>
    <w:rsid w:val="00B22D8A"/>
    <w:rsid w:val="00B25955"/>
    <w:rsid w:val="00B32CC9"/>
    <w:rsid w:val="00B36F84"/>
    <w:rsid w:val="00B37807"/>
    <w:rsid w:val="00B37885"/>
    <w:rsid w:val="00B47A16"/>
    <w:rsid w:val="00B504FC"/>
    <w:rsid w:val="00B755C5"/>
    <w:rsid w:val="00B8370E"/>
    <w:rsid w:val="00B850DE"/>
    <w:rsid w:val="00B90143"/>
    <w:rsid w:val="00B93F1B"/>
    <w:rsid w:val="00B94743"/>
    <w:rsid w:val="00B96E6A"/>
    <w:rsid w:val="00BB3517"/>
    <w:rsid w:val="00BB43E4"/>
    <w:rsid w:val="00BB45C5"/>
    <w:rsid w:val="00BC691C"/>
    <w:rsid w:val="00C173F3"/>
    <w:rsid w:val="00C3427A"/>
    <w:rsid w:val="00C53D6B"/>
    <w:rsid w:val="00C66947"/>
    <w:rsid w:val="00C752D8"/>
    <w:rsid w:val="00C80E81"/>
    <w:rsid w:val="00C936BC"/>
    <w:rsid w:val="00CA4EE1"/>
    <w:rsid w:val="00CB4F08"/>
    <w:rsid w:val="00CC2792"/>
    <w:rsid w:val="00CC5F8D"/>
    <w:rsid w:val="00D06D6F"/>
    <w:rsid w:val="00D12669"/>
    <w:rsid w:val="00D537AD"/>
    <w:rsid w:val="00D546FA"/>
    <w:rsid w:val="00D6682B"/>
    <w:rsid w:val="00D83F94"/>
    <w:rsid w:val="00D86052"/>
    <w:rsid w:val="00DC7479"/>
    <w:rsid w:val="00DC79A4"/>
    <w:rsid w:val="00DE4D53"/>
    <w:rsid w:val="00DE531D"/>
    <w:rsid w:val="00DF029A"/>
    <w:rsid w:val="00E029CA"/>
    <w:rsid w:val="00E042AC"/>
    <w:rsid w:val="00E2508A"/>
    <w:rsid w:val="00E278F1"/>
    <w:rsid w:val="00E356E8"/>
    <w:rsid w:val="00E469CA"/>
    <w:rsid w:val="00E4725A"/>
    <w:rsid w:val="00E576B8"/>
    <w:rsid w:val="00E64742"/>
    <w:rsid w:val="00E7167C"/>
    <w:rsid w:val="00E724C4"/>
    <w:rsid w:val="00E805F8"/>
    <w:rsid w:val="00E81295"/>
    <w:rsid w:val="00E90F3E"/>
    <w:rsid w:val="00E954C7"/>
    <w:rsid w:val="00EA0A6B"/>
    <w:rsid w:val="00EB78CF"/>
    <w:rsid w:val="00EE3984"/>
    <w:rsid w:val="00EE5F5F"/>
    <w:rsid w:val="00EF11B4"/>
    <w:rsid w:val="00EF5072"/>
    <w:rsid w:val="00F11AE0"/>
    <w:rsid w:val="00F1228A"/>
    <w:rsid w:val="00F20DAE"/>
    <w:rsid w:val="00F34860"/>
    <w:rsid w:val="00F44C0B"/>
    <w:rsid w:val="00F51DEB"/>
    <w:rsid w:val="00F63269"/>
    <w:rsid w:val="00F67AFA"/>
    <w:rsid w:val="00F7673D"/>
    <w:rsid w:val="00F7745E"/>
    <w:rsid w:val="00F77643"/>
    <w:rsid w:val="00F860D6"/>
    <w:rsid w:val="00FB5481"/>
    <w:rsid w:val="00FC66B9"/>
    <w:rsid w:val="00FC6E6A"/>
    <w:rsid w:val="00FD13A0"/>
    <w:rsid w:val="00FE4865"/>
    <w:rsid w:val="00FE6333"/>
    <w:rsid w:val="07D96A32"/>
    <w:rsid w:val="0C8C1E7E"/>
    <w:rsid w:val="0CA147E3"/>
    <w:rsid w:val="0D8D2059"/>
    <w:rsid w:val="136C3EAD"/>
    <w:rsid w:val="13B71E95"/>
    <w:rsid w:val="15767662"/>
    <w:rsid w:val="182144D0"/>
    <w:rsid w:val="18357E96"/>
    <w:rsid w:val="1A321C9E"/>
    <w:rsid w:val="1BD027F4"/>
    <w:rsid w:val="1D6E6EF6"/>
    <w:rsid w:val="1EE95038"/>
    <w:rsid w:val="21A91D14"/>
    <w:rsid w:val="280F3502"/>
    <w:rsid w:val="2B6F2EE9"/>
    <w:rsid w:val="33E35224"/>
    <w:rsid w:val="3456014E"/>
    <w:rsid w:val="359A203D"/>
    <w:rsid w:val="3625417C"/>
    <w:rsid w:val="37697E0A"/>
    <w:rsid w:val="3DD80075"/>
    <w:rsid w:val="3E974643"/>
    <w:rsid w:val="41C97FC8"/>
    <w:rsid w:val="44F337C4"/>
    <w:rsid w:val="469018D2"/>
    <w:rsid w:val="4C417136"/>
    <w:rsid w:val="4E6507CC"/>
    <w:rsid w:val="50063328"/>
    <w:rsid w:val="50175092"/>
    <w:rsid w:val="513F3EE5"/>
    <w:rsid w:val="56A52DFC"/>
    <w:rsid w:val="5D4735B6"/>
    <w:rsid w:val="5DD454EA"/>
    <w:rsid w:val="5F4565D3"/>
    <w:rsid w:val="61682E4E"/>
    <w:rsid w:val="61A409C1"/>
    <w:rsid w:val="647B6B1F"/>
    <w:rsid w:val="6B182452"/>
    <w:rsid w:val="6E8562A3"/>
    <w:rsid w:val="742264DD"/>
    <w:rsid w:val="7B411BA3"/>
    <w:rsid w:val="7CC25A80"/>
    <w:rsid w:val="7D935BD8"/>
    <w:rsid w:val="7F18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20"/>
    <w:qFormat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sz w:val="32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qFormat/>
    <w:uiPriority w:val="0"/>
    <w:rPr>
      <w:rFonts w:cs="Times New Roman"/>
      <w:b/>
      <w:bCs/>
    </w:rPr>
  </w:style>
  <w:style w:type="character" w:styleId="9">
    <w:name w:val="page number"/>
    <w:basedOn w:val="7"/>
    <w:qFormat/>
    <w:uiPriority w:val="0"/>
  </w:style>
  <w:style w:type="table" w:styleId="11">
    <w:name w:val="Table Grid"/>
    <w:basedOn w:val="10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4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15">
    <w:name w:val="批注框文本 字符"/>
    <w:basedOn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正文文本缩进 3 字符"/>
    <w:basedOn w:val="7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17">
    <w:name w:val="页脚 字符1"/>
    <w:qFormat/>
    <w:uiPriority w:val="99"/>
    <w:rPr>
      <w:rFonts w:ascii="Times New Roman" w:hAnsi="Times New Roman" w:eastAsia="黑体" w:cs="Times New Roman"/>
      <w:snapToGrid w:val="0"/>
      <w:kern w:val="0"/>
      <w:sz w:val="18"/>
      <w:szCs w:val="18"/>
    </w:rPr>
  </w:style>
  <w:style w:type="character" w:customStyle="1" w:styleId="18">
    <w:name w:val="批注框文本 字符1"/>
    <w:link w:val="2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眉 字符1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正文文本缩进 3 字符1"/>
    <w:link w:val="5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paragraph" w:styleId="21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2">
    <w:name w:val="普通(网站)1"/>
    <w:basedOn w:val="1"/>
    <w:qFormat/>
    <w:uiPriority w:val="0"/>
    <w:rPr>
      <w:rFonts w:ascii="Calibri" w:hAnsi="Calibri" w:cs="黑体"/>
      <w:sz w:val="24"/>
    </w:rPr>
  </w:style>
  <w:style w:type="paragraph" w:customStyle="1" w:styleId="23">
    <w:name w:val="普通(网站)2"/>
    <w:basedOn w:val="1"/>
    <w:qFormat/>
    <w:uiPriority w:val="0"/>
    <w:rPr>
      <w:rFonts w:ascii="Calibri" w:hAnsi="Calibri" w:cs="黑体"/>
      <w:sz w:val="24"/>
    </w:rPr>
  </w:style>
  <w:style w:type="paragraph" w:customStyle="1" w:styleId="24">
    <w:name w:val="普通(网站)3"/>
    <w:basedOn w:val="1"/>
    <w:qFormat/>
    <w:uiPriority w:val="0"/>
    <w:rPr>
      <w:rFonts w:ascii="Calibri" w:hAnsi="Calibri" w:cs="黑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55B35A-97B9-4FD8-A7DA-BF33040586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1481</Words>
  <Characters>8442</Characters>
  <Lines>70</Lines>
  <Paragraphs>19</Paragraphs>
  <TotalTime>4</TotalTime>
  <ScaleCrop>false</ScaleCrop>
  <LinksUpToDate>false</LinksUpToDate>
  <CharactersWithSpaces>9904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2020-02-01T09:16:00Z</dcterms:created>
  <dc:creator>穆斯塔帕</dc:creator>
  <cp:lastModifiedBy>Administrator</cp:lastModifiedBy>
  <cp:lastPrinted>2020-02-01T09:15:00Z</cp:lastPrinted>
  <dcterms:modified xsi:type="dcterms:W3CDTF">2020-11-26T04:57:48Z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