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克孜勒苏柯尔克孜自治州食品药品检验所2020年部门预算公开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克州食品药品检验所概况</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0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一、关于克州食品药品检验所2020年收支预算情况的总体说明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二、关于克州食品药品检验所2020年收入预算情况说明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三、关于克州食品药品检验所2020年支出预算情况说明</w:t>
      </w:r>
    </w:p>
    <w:p>
      <w:pPr>
        <w:widowControl/>
        <w:spacing w:line="400" w:lineRule="exact"/>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四、关于克州食品药品检验所2020年财政拨款收支预算情况的总体说明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五、关于克州食品药品检验所2020年一般公共预算当年拨款情况说明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六、关于克州食品药品检验所2020年一般公共预算基本支出情况说明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七、关于克州食品药品检验所2020年项目支出情况说明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八、关于克州食品药品检验所2020年一般公共预算“三公”经费预算情况说明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九、关于克州食品药品检验所2020年政府性基金预算拨款情况说明</w:t>
      </w:r>
    </w:p>
    <w:p>
      <w:pPr>
        <w:widowControl/>
        <w:spacing w:line="40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00" w:lineRule="exact"/>
        <w:outlineLvl w:val="1"/>
        <w:rPr>
          <w:rFonts w:ascii="黑体" w:hAnsi="黑体" w:eastAsia="黑体"/>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克州食品药品检验所概况</w:t>
      </w:r>
    </w:p>
    <w:p>
      <w:pPr>
        <w:widowControl/>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承担全州食品、药品、医疗器械、保健食品、化妆品（以下简称“四品一械”）的质量监督检验、检测、评价性检验和委托检验，综合上报和反馈检验检测相关质量信息；承担医疗机构药品制剂质量标准的拟定、修订和药品生产企业质量标准的研究及起草工作，协助上级药品检验机构开展质量标准的拟定、修订工作；承担全州“四品一械”的年度抽验和评价性抽验工作，汇总、分析、上报抽验数据；承担全州“四品一械”生产、供应、使用单位质量检验机构的业务技术指导和人员培训；协助克州食品药品监督管理局开展“四品一械”监督执法和突发事件的应急处置工作。</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 xml:space="preserve">二、机构设置及人员情况 </w:t>
      </w:r>
    </w:p>
    <w:p>
      <w:pPr>
        <w:widowControl/>
        <w:spacing w:line="56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 xml:space="preserve">克州食品药品检验所无下属单位，下设 5个科室，分别是：综合业务管理科、食品保健品检测室、药品检测室、微生物检测室、化妆品检测室。        </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克州食品药品检验所编制数 20 名，实有人数 11人，其中：在职11人，减少 1人； 退休 0 人，增加或减少 0 人；离休0 人，增加或减少 0 人。</w:t>
      </w: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编制部门：克州食品药品检验所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118.53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177.53</w:t>
            </w:r>
            <w:r>
              <w:rPr>
                <w:rFonts w:hint="eastAsia" w:ascii="仿宋_GB2312" w:hAnsi="宋体" w:eastAsia="仿宋_GB2312" w:cs="宋体"/>
                <w:color w:val="C00000"/>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118.53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87"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118.53</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177.53</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59.00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177.53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177.53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填报部门：克州食品药品检验所                                单位：万元</w:t>
      </w:r>
    </w:p>
    <w:tbl>
      <w:tblPr>
        <w:tblStyle w:val="7"/>
        <w:tblW w:w="9362" w:type="dxa"/>
        <w:tblInd w:w="-448" w:type="dxa"/>
        <w:tblLayout w:type="fixed"/>
        <w:tblCellMar>
          <w:top w:w="0" w:type="dxa"/>
          <w:left w:w="108" w:type="dxa"/>
          <w:bottom w:w="0" w:type="dxa"/>
          <w:right w:w="108" w:type="dxa"/>
        </w:tblCellMar>
      </w:tblPr>
      <w:tblGrid>
        <w:gridCol w:w="551"/>
        <w:gridCol w:w="518"/>
        <w:gridCol w:w="480"/>
        <w:gridCol w:w="692"/>
        <w:gridCol w:w="844"/>
        <w:gridCol w:w="897"/>
        <w:gridCol w:w="414"/>
        <w:gridCol w:w="345"/>
        <w:gridCol w:w="466"/>
        <w:gridCol w:w="396"/>
        <w:gridCol w:w="444"/>
        <w:gridCol w:w="543"/>
        <w:gridCol w:w="733"/>
        <w:gridCol w:w="815"/>
        <w:gridCol w:w="1224"/>
      </w:tblGrid>
      <w:tr>
        <w:tblPrEx>
          <w:tblCellMar>
            <w:top w:w="0" w:type="dxa"/>
            <w:left w:w="108" w:type="dxa"/>
            <w:bottom w:w="0" w:type="dxa"/>
            <w:right w:w="108" w:type="dxa"/>
          </w:tblCellMar>
        </w:tblPrEx>
        <w:trPr>
          <w:trHeight w:val="510" w:hRule="atLeast"/>
        </w:trPr>
        <w:tc>
          <w:tcPr>
            <w:tcW w:w="15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6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4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3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39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44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733"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1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69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4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9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4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6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96"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44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33"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1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2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38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50　</w:t>
            </w:r>
          </w:p>
        </w:tc>
        <w:tc>
          <w:tcPr>
            <w:tcW w:w="6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事业运行　</w:t>
            </w:r>
          </w:p>
        </w:tc>
        <w:tc>
          <w:tcPr>
            <w:tcW w:w="844"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177.53　</w:t>
            </w:r>
          </w:p>
        </w:tc>
        <w:tc>
          <w:tcPr>
            <w:tcW w:w="897"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118.53　</w:t>
            </w:r>
          </w:p>
        </w:tc>
        <w:tc>
          <w:tcPr>
            <w:tcW w:w="414"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59.00</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5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177.53　</w:t>
            </w:r>
          </w:p>
        </w:tc>
        <w:tc>
          <w:tcPr>
            <w:tcW w:w="89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118.53　</w:t>
            </w:r>
          </w:p>
        </w:tc>
        <w:tc>
          <w:tcPr>
            <w:tcW w:w="4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4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44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4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1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4" w:type="dxa"/>
            <w:tcBorders>
              <w:top w:val="nil"/>
              <w:left w:val="nil"/>
              <w:bottom w:val="single" w:color="auto" w:sz="4" w:space="0"/>
              <w:right w:val="single" w:color="auto" w:sz="4" w:space="0"/>
            </w:tcBorders>
            <w:shd w:val="clear" w:color="auto" w:fill="auto"/>
            <w:vAlign w:val="center"/>
          </w:tcPr>
          <w:p>
            <w:pPr>
              <w:ind w:right="400"/>
              <w:jc w:val="left"/>
              <w:rPr>
                <w:rFonts w:ascii="仿宋_GB2312" w:hAnsi="宋体" w:eastAsia="仿宋_GB2312" w:cs="宋体"/>
                <w:color w:val="000000"/>
                <w:sz w:val="20"/>
                <w:szCs w:val="20"/>
              </w:rPr>
            </w:pPr>
            <w:r>
              <w:rPr>
                <w:rFonts w:hint="eastAsia" w:ascii="仿宋_GB2312" w:hAnsi="宋体" w:eastAsia="仿宋_GB2312" w:cs="宋体"/>
                <w:color w:val="000000"/>
                <w:sz w:val="20"/>
                <w:szCs w:val="20"/>
              </w:rPr>
              <w:t>59.00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编制部门：克州食品药品检验所                                 单位：万元</w:t>
      </w:r>
    </w:p>
    <w:tbl>
      <w:tblPr>
        <w:tblStyle w:val="7"/>
        <w:tblW w:w="9420" w:type="dxa"/>
        <w:tblInd w:w="-240" w:type="dxa"/>
        <w:tblLayout w:type="fixed"/>
        <w:tblCellMar>
          <w:top w:w="0" w:type="dxa"/>
          <w:left w:w="108" w:type="dxa"/>
          <w:bottom w:w="0" w:type="dxa"/>
          <w:right w:w="108" w:type="dxa"/>
        </w:tblCellMar>
      </w:tblPr>
      <w:tblGrid>
        <w:gridCol w:w="458"/>
        <w:gridCol w:w="400"/>
        <w:gridCol w:w="399"/>
        <w:gridCol w:w="2582"/>
        <w:gridCol w:w="1846"/>
        <w:gridCol w:w="1846"/>
        <w:gridCol w:w="1889"/>
      </w:tblGrid>
      <w:tr>
        <w:tblPrEx>
          <w:tblCellMar>
            <w:top w:w="0" w:type="dxa"/>
            <w:left w:w="108" w:type="dxa"/>
            <w:bottom w:w="0" w:type="dxa"/>
            <w:right w:w="108" w:type="dxa"/>
          </w:tblCellMar>
        </w:tblPrEx>
        <w:trPr>
          <w:trHeight w:val="345" w:hRule="atLeast"/>
        </w:trPr>
        <w:tc>
          <w:tcPr>
            <w:tcW w:w="383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8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38</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50</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事业运行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177.53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177.53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3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3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177.53</w:t>
            </w:r>
          </w:p>
        </w:tc>
        <w:tc>
          <w:tcPr>
            <w:tcW w:w="1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177.53</w:t>
            </w:r>
          </w:p>
        </w:tc>
        <w:tc>
          <w:tcPr>
            <w:tcW w:w="18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编制部门：克州食品药品检验所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118.53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118.53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118.53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118.53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118.53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118.53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118.53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编制部门：克州食品药品检验所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事业运行</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118.53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118.53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118.53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118.53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67" w:type="dxa"/>
        <w:tblInd w:w="-148" w:type="dxa"/>
        <w:tblLayout w:type="fixed"/>
        <w:tblCellMar>
          <w:top w:w="0" w:type="dxa"/>
          <w:left w:w="108" w:type="dxa"/>
          <w:bottom w:w="0" w:type="dxa"/>
          <w:right w:w="108" w:type="dxa"/>
        </w:tblCellMar>
      </w:tblPr>
      <w:tblGrid>
        <w:gridCol w:w="757"/>
        <w:gridCol w:w="716"/>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467"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364"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编制部门：克州食品药品检验所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36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12.28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12.28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0.50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办公用品及设备采购</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0.61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0.61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2.80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2.80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50.48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50.48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8.87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8.87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4.90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4.90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0.50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0.92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0.92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33.63 </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33.63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0.51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0.51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0.02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 xml:space="preserve">0.02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118.53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112.97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5.56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编制部门：克州食品药品检验所</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备注：我单位未安排项目支出。</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编制单位：克州食品药品检验所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0.50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0.50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编制单位：克州食品药品检验所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备注：我单位未安排政府性基金预算。</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关于克州食品药品检验所2020年收支预算情况的总体说明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按照全口径预算的原则，克州食品药品检验所2020年所有收入和支出均纳入部门预算管理。收支总预算177.53万元。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收入预算包括：一般公共预算118.53万元、单位上年结余（不包括国库集中支付额度结余）59万元等。</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支出预算包括：一般公共服务支出177.53万元。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二、关于克州食品药品检验所2020年收入预算情况说明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克州食品药品检验所2020年收入预算177.53万元，其中：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一般公共预算118.53万元，占66.77%，比上年减少11.09万元，主要原因是人员减少，人员经费减少；压缩公用经费，公用经费减少；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政府性基金预算未安排。或0万元，占0%，比上年增加（减少）0万元，主要原因是本单位收入预算中无政府性基金预算拨款；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财政专户管理资金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%，比上年增加（减少）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2020年未安排预算</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事业收入</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我单位无事业收入</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%，比上年增加（减少）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我单位无经营收入</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我单位无其他收入</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用事业基金弥补收支差额</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一般共预算能维持我单位日常开支</w:t>
      </w:r>
      <w:r>
        <w:rPr>
          <w:rFonts w:hint="eastAsia" w:ascii="仿宋_GB2312" w:hAnsi="宋体" w:eastAsia="仿宋_GB2312" w:cs="宋体"/>
          <w:kern w:val="0"/>
          <w:sz w:val="32"/>
          <w:szCs w:val="32"/>
        </w:rPr>
        <w:t>。</w:t>
      </w:r>
    </w:p>
    <w:p>
      <w:pPr>
        <w:spacing w:line="560" w:lineRule="exact"/>
        <w:ind w:firstLine="640" w:firstLineChars="200"/>
        <w:jc w:val="left"/>
        <w:rPr>
          <w:rFonts w:ascii="仿宋_GB2312" w:hAnsi="宋体" w:eastAsia="仿宋_GB2312" w:cs="宋体"/>
          <w:kern w:val="0"/>
          <w:sz w:val="32"/>
          <w:szCs w:val="32"/>
        </w:rPr>
      </w:pPr>
      <w:bookmarkStart w:id="0" w:name="_GoBack"/>
      <w:bookmarkEnd w:id="0"/>
      <w:r>
        <w:rPr>
          <w:rFonts w:hint="eastAsia" w:ascii="仿宋_GB2312" w:hAnsi="宋体" w:eastAsia="仿宋_GB2312" w:cs="宋体"/>
          <w:kern w:val="0"/>
          <w:sz w:val="32"/>
          <w:szCs w:val="32"/>
        </w:rPr>
        <w:t>单位上年结余（不包括国库集中支付额度结余）59.00 万元，占33.23%，比上年减少45.62万元，主要原因是采购设备、人员培训等实验室能力提升等使用上年结余资金。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三、关于克州食品药品检验所2020年支出预算情况说明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克州食品药品检验所2020年支出预算177.53万元，其中：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基本支出177.53万元，占100%，比上年减少56.71万元，主要原因是人员减少，人员经费减少；压缩公用经费，公用经费减少。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项目支出0万元，占0%，比上年增加（减少）0万元，主要原因是我单位本年未安排项目支出。</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四、关于克州食品药品检验所2020年财政拨款收支预算情况的总体说明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2020年财政拨款收支总预算118.53万元。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支出预算包括：一般公共服务支出118.53万元，主要用于人员经费与机关运行经费。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五、关于克州食品药品检验所2020年一般公共预算当年拨款情况说明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克州食品药品检验所2020年一般公共预算拨款基本支出118.53万元，比上年执行数减少11.09 万元，下降8.56%。主要原因是：人员减少，人员经费减少；压缩公用经费，公用经费减少。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一般公共服务（类）</w:t>
      </w:r>
      <w:r>
        <w:rPr>
          <w:rFonts w:hint="eastAsia" w:ascii="仿宋_GB2312" w:hAnsi="宋体" w:eastAsia="仿宋_GB2312" w:cs="宋体"/>
          <w:kern w:val="0"/>
          <w:sz w:val="32"/>
          <w:szCs w:val="32"/>
        </w:rPr>
        <w:t>177.53 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一般公共服务支出（201）市场监督管理（38）事业运行（50）</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118.53</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比上年执行数减少11.09万元，下降8.56%，主要原因是：人员减少，人员经费减少；压缩公用经费，公用经费减少。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六、关于克州食品药品检验所2020年一般公共预算基本支出情况说明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克州食品药品检验所2020年一般公共预算基本支出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人员经费112.97万元，主要包括：基本工资33.63万元、津贴补贴50.48万元、奖金2.80万元、机关事业单位基本养老保险缴费12.28万元、其他社会保障缴费4.90万元、住房公积金8.87万元。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5.56万元，主要包括：办公费0.50万元、印刷费0.50万元、手续费0.02万元、水费0.50万元、电费0.50万元、邮电费1.00万元、公务接待费0.50万元、工会经费0.51万元、福利费0.92万元、办公用品及设备采购0.61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七、关于克州食品药品检验所2020年项目支出情况说明</w:t>
      </w:r>
    </w:p>
    <w:p>
      <w:pPr>
        <w:spacing w:line="560" w:lineRule="exact"/>
        <w:ind w:firstLine="640" w:firstLineChars="200"/>
        <w:rPr>
          <w:rFonts w:ascii="仿宋_GB2312" w:hAnsi="黑体" w:eastAsia="仿宋_GB2312"/>
          <w:bCs/>
          <w:sz w:val="32"/>
          <w:szCs w:val="32"/>
        </w:rPr>
      </w:pPr>
      <w:r>
        <w:rPr>
          <w:rFonts w:hint="eastAsia" w:ascii="仿宋_GB2312" w:hAnsi="黑体" w:eastAsia="仿宋_GB2312"/>
          <w:bCs/>
          <w:sz w:val="32"/>
          <w:szCs w:val="32"/>
        </w:rPr>
        <w:t>克州食品药品检验所2019年未安排项目支出。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八、关于克州食品药品检验所2020年一般公共预算“三公”经费预算情况说明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克州食品药品检验所2020年“三公”经费财政拨款预算数为0.50万元，其中：因公出国（境）费0万元，公务用车购置0万元，公务用车运行费0万元，公务接待费0.50万元。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其中：因公出国（境）费增加（减少）0万元，主要原因是无因公出国人员；公务用车购置费为0，未安排预算。[或公务用车购置费增加（减少）0万元，主要原因是无车辆购置]；公务用车运行费增加（减少）0万元，主要原因是克州食品药品检验所无车辆；公务接待费增加（减少）0万元，主要原因是克州食药检所之前年度一直与克州市场监督管理局联合办公，接待任务主要由克州市场监督管理局承担，2019年食品药品检验所搬至新楼独立办公，需增加接待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九、关于克州食品药品检验所2020年政府性基金预算拨款情况说明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克州食品药品检验所2020年没有使用政府性基金预算拨款安排的支出，政府性基金预算支出情况表为空表。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食品药品检验所及下属0家行政单位和0家事业单位的机关运行经费财政拨款预算4.125万元，比上年预算减少0.375万元，下降8.33%。主要原因是人员减少，人员经费减少；财政控制公用开支，减少公用经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2020年，克州食品药品检验所政府采购预算51万元，其中：政府采购货物预算48万元，政府采购工程预算0万元，政府采购服务预算3万元。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截至2019年底，克州食品药品检验所占用使用国有资产总体情况为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2.车辆0辆，价值0万元；其中：一般公务用车0辆，价值0万元；执法执勤用车0辆，价值0万元；其他车辆0辆，价值0万元。</w:t>
      </w:r>
    </w:p>
    <w:p>
      <w:pPr>
        <w:spacing w:line="560" w:lineRule="exact"/>
        <w:ind w:firstLine="640" w:firstLineChars="200"/>
        <w:rPr>
          <w:rFonts w:ascii="仿宋_GB2312" w:hAnsi="宋体" w:eastAsia="仿宋_GB2312" w:cs="宋体"/>
          <w:color w:val="C00000"/>
          <w:kern w:val="0"/>
          <w:sz w:val="32"/>
          <w:szCs w:val="32"/>
        </w:rPr>
      </w:pPr>
      <w:r>
        <w:rPr>
          <w:rFonts w:hint="eastAsia" w:ascii="仿宋_GB2312" w:hAnsi="宋体" w:eastAsia="仿宋_GB2312" w:cs="宋体"/>
          <w:kern w:val="0"/>
          <w:sz w:val="32"/>
          <w:szCs w:val="32"/>
        </w:rPr>
        <w:t>3.办公家具价值14.86万元。</w:t>
      </w:r>
    </w:p>
    <w:p>
      <w:pPr>
        <w:spacing w:line="560" w:lineRule="exact"/>
        <w:ind w:firstLine="640" w:firstLineChars="200"/>
        <w:rPr>
          <w:rFonts w:ascii="仿宋_GB2312" w:hAnsi="宋体" w:eastAsia="仿宋_GB2312" w:cs="宋体"/>
          <w:color w:val="C00000"/>
          <w:kern w:val="0"/>
          <w:sz w:val="32"/>
          <w:szCs w:val="32"/>
        </w:rPr>
      </w:pPr>
      <w:r>
        <w:rPr>
          <w:rFonts w:hint="eastAsia" w:ascii="仿宋_GB2312" w:hAnsi="宋体" w:eastAsia="仿宋_GB2312" w:cs="宋体"/>
          <w:kern w:val="0"/>
          <w:sz w:val="32"/>
          <w:szCs w:val="32"/>
        </w:rPr>
        <w:t>4.其他资产价值55.66万元。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2020年度，本年度实行绩效管理的项目0个，涉及预算金额0万元。具体情况见下表（按项目分别填报）：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XXXXX</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克州食品药品检验所无其他需说明的事项。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克州食品药品检验所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1CD5"/>
    <w:rsid w:val="00012D28"/>
    <w:rsid w:val="000145B4"/>
    <w:rsid w:val="00032AE8"/>
    <w:rsid w:val="000343F0"/>
    <w:rsid w:val="000D56B0"/>
    <w:rsid w:val="00106382"/>
    <w:rsid w:val="00114DEC"/>
    <w:rsid w:val="00141B81"/>
    <w:rsid w:val="00156E12"/>
    <w:rsid w:val="001934F0"/>
    <w:rsid w:val="00206104"/>
    <w:rsid w:val="00231E0F"/>
    <w:rsid w:val="00324290"/>
    <w:rsid w:val="00387451"/>
    <w:rsid w:val="003C63C0"/>
    <w:rsid w:val="00432267"/>
    <w:rsid w:val="004342B3"/>
    <w:rsid w:val="00437B00"/>
    <w:rsid w:val="00472F46"/>
    <w:rsid w:val="00481CD5"/>
    <w:rsid w:val="004B3F0D"/>
    <w:rsid w:val="00502B77"/>
    <w:rsid w:val="005C42E0"/>
    <w:rsid w:val="006F473D"/>
    <w:rsid w:val="00760C9D"/>
    <w:rsid w:val="00792F1F"/>
    <w:rsid w:val="008160EE"/>
    <w:rsid w:val="008C25CC"/>
    <w:rsid w:val="008E457E"/>
    <w:rsid w:val="008F28F7"/>
    <w:rsid w:val="00974606"/>
    <w:rsid w:val="009D0AA2"/>
    <w:rsid w:val="00A40216"/>
    <w:rsid w:val="00B22D8A"/>
    <w:rsid w:val="00BA557F"/>
    <w:rsid w:val="00BF3C69"/>
    <w:rsid w:val="00C82E0D"/>
    <w:rsid w:val="00C87C95"/>
    <w:rsid w:val="00D0277E"/>
    <w:rsid w:val="00D06D6F"/>
    <w:rsid w:val="00DC534C"/>
    <w:rsid w:val="00E22E18"/>
    <w:rsid w:val="00E31D3B"/>
    <w:rsid w:val="00E469CA"/>
    <w:rsid w:val="00E7167C"/>
    <w:rsid w:val="00ED1D5E"/>
    <w:rsid w:val="00FE2E00"/>
    <w:rsid w:val="0162165D"/>
    <w:rsid w:val="01643746"/>
    <w:rsid w:val="01CC217B"/>
    <w:rsid w:val="01FA71B5"/>
    <w:rsid w:val="02516F26"/>
    <w:rsid w:val="03374C5F"/>
    <w:rsid w:val="040A158C"/>
    <w:rsid w:val="041D02BC"/>
    <w:rsid w:val="044072A1"/>
    <w:rsid w:val="0465670D"/>
    <w:rsid w:val="04E73D1B"/>
    <w:rsid w:val="05627589"/>
    <w:rsid w:val="06066E77"/>
    <w:rsid w:val="070A0AEC"/>
    <w:rsid w:val="070C1265"/>
    <w:rsid w:val="07265469"/>
    <w:rsid w:val="07837792"/>
    <w:rsid w:val="07DA7D08"/>
    <w:rsid w:val="086425D3"/>
    <w:rsid w:val="089F6F56"/>
    <w:rsid w:val="0A134A18"/>
    <w:rsid w:val="0B1F4437"/>
    <w:rsid w:val="0B395625"/>
    <w:rsid w:val="0B826963"/>
    <w:rsid w:val="0B985C86"/>
    <w:rsid w:val="0C2E0FB7"/>
    <w:rsid w:val="0C415FFB"/>
    <w:rsid w:val="0C7308CC"/>
    <w:rsid w:val="0CDC4375"/>
    <w:rsid w:val="0D067F8F"/>
    <w:rsid w:val="0D3A25B1"/>
    <w:rsid w:val="0E4755B0"/>
    <w:rsid w:val="0ED61D97"/>
    <w:rsid w:val="0EE42D18"/>
    <w:rsid w:val="0F20090F"/>
    <w:rsid w:val="0F9941DF"/>
    <w:rsid w:val="0FB20054"/>
    <w:rsid w:val="0FDC3FAC"/>
    <w:rsid w:val="109F238B"/>
    <w:rsid w:val="10BE3DCB"/>
    <w:rsid w:val="11070E66"/>
    <w:rsid w:val="114D4303"/>
    <w:rsid w:val="11971F06"/>
    <w:rsid w:val="12F00E4F"/>
    <w:rsid w:val="12F75057"/>
    <w:rsid w:val="13593FF1"/>
    <w:rsid w:val="135D3213"/>
    <w:rsid w:val="13DE51AC"/>
    <w:rsid w:val="146C205D"/>
    <w:rsid w:val="14F37AF4"/>
    <w:rsid w:val="1547378A"/>
    <w:rsid w:val="15617392"/>
    <w:rsid w:val="157E578A"/>
    <w:rsid w:val="15894D71"/>
    <w:rsid w:val="15973416"/>
    <w:rsid w:val="164C4F29"/>
    <w:rsid w:val="16815DD3"/>
    <w:rsid w:val="16F36397"/>
    <w:rsid w:val="16F476F4"/>
    <w:rsid w:val="17E44A0D"/>
    <w:rsid w:val="182D55B6"/>
    <w:rsid w:val="18BA2ADC"/>
    <w:rsid w:val="19086FBF"/>
    <w:rsid w:val="19510FFB"/>
    <w:rsid w:val="197773D1"/>
    <w:rsid w:val="1A411363"/>
    <w:rsid w:val="1A763941"/>
    <w:rsid w:val="1A792541"/>
    <w:rsid w:val="1ACE1ADA"/>
    <w:rsid w:val="1BA25018"/>
    <w:rsid w:val="1BB928E6"/>
    <w:rsid w:val="1BBD2228"/>
    <w:rsid w:val="1C84271C"/>
    <w:rsid w:val="1D674518"/>
    <w:rsid w:val="1D7C572D"/>
    <w:rsid w:val="1DC64288"/>
    <w:rsid w:val="1E022CA0"/>
    <w:rsid w:val="1E1F1545"/>
    <w:rsid w:val="1E6128EC"/>
    <w:rsid w:val="1E6562CC"/>
    <w:rsid w:val="1E763AD2"/>
    <w:rsid w:val="1EFA5360"/>
    <w:rsid w:val="1F3A46E8"/>
    <w:rsid w:val="1F566A32"/>
    <w:rsid w:val="1FD5467E"/>
    <w:rsid w:val="1FF36D03"/>
    <w:rsid w:val="201A0005"/>
    <w:rsid w:val="20B373C1"/>
    <w:rsid w:val="20C5518C"/>
    <w:rsid w:val="20CD442E"/>
    <w:rsid w:val="20E72FA8"/>
    <w:rsid w:val="21522407"/>
    <w:rsid w:val="217973B0"/>
    <w:rsid w:val="21A016C3"/>
    <w:rsid w:val="21E43B5E"/>
    <w:rsid w:val="21EE3C16"/>
    <w:rsid w:val="22C344F4"/>
    <w:rsid w:val="234C0991"/>
    <w:rsid w:val="238A55F6"/>
    <w:rsid w:val="23A61209"/>
    <w:rsid w:val="23EF4D8C"/>
    <w:rsid w:val="242B6DBC"/>
    <w:rsid w:val="247E17D8"/>
    <w:rsid w:val="24DA7710"/>
    <w:rsid w:val="25195549"/>
    <w:rsid w:val="25D7195D"/>
    <w:rsid w:val="25FB1FE3"/>
    <w:rsid w:val="260A0894"/>
    <w:rsid w:val="264D7B16"/>
    <w:rsid w:val="264F0592"/>
    <w:rsid w:val="26585AA7"/>
    <w:rsid w:val="26A767C8"/>
    <w:rsid w:val="26F47DD9"/>
    <w:rsid w:val="273A06A3"/>
    <w:rsid w:val="277B279D"/>
    <w:rsid w:val="279E7FCF"/>
    <w:rsid w:val="27B92404"/>
    <w:rsid w:val="28151ECE"/>
    <w:rsid w:val="281777E2"/>
    <w:rsid w:val="286270B8"/>
    <w:rsid w:val="286F1887"/>
    <w:rsid w:val="28807BD2"/>
    <w:rsid w:val="290B48E8"/>
    <w:rsid w:val="29864121"/>
    <w:rsid w:val="29AB1ADA"/>
    <w:rsid w:val="29E91251"/>
    <w:rsid w:val="29EA3E32"/>
    <w:rsid w:val="2A112A8E"/>
    <w:rsid w:val="2A5D118D"/>
    <w:rsid w:val="2AB04D62"/>
    <w:rsid w:val="2AC17CE5"/>
    <w:rsid w:val="2C803633"/>
    <w:rsid w:val="2D086135"/>
    <w:rsid w:val="2D331148"/>
    <w:rsid w:val="2D557193"/>
    <w:rsid w:val="2D771096"/>
    <w:rsid w:val="2D9757AD"/>
    <w:rsid w:val="2E193A51"/>
    <w:rsid w:val="2E2F14BB"/>
    <w:rsid w:val="2EEB1573"/>
    <w:rsid w:val="2F071E30"/>
    <w:rsid w:val="2F30755C"/>
    <w:rsid w:val="2F4A35C8"/>
    <w:rsid w:val="2FA767B4"/>
    <w:rsid w:val="305F3160"/>
    <w:rsid w:val="31735495"/>
    <w:rsid w:val="321A2675"/>
    <w:rsid w:val="3294166B"/>
    <w:rsid w:val="33670EFD"/>
    <w:rsid w:val="340B1F8E"/>
    <w:rsid w:val="34665330"/>
    <w:rsid w:val="34834197"/>
    <w:rsid w:val="34AA5C7E"/>
    <w:rsid w:val="34C91A1D"/>
    <w:rsid w:val="34E14E12"/>
    <w:rsid w:val="352C4EF7"/>
    <w:rsid w:val="35914C1B"/>
    <w:rsid w:val="35BB12DA"/>
    <w:rsid w:val="35EF7F81"/>
    <w:rsid w:val="36683558"/>
    <w:rsid w:val="36A76806"/>
    <w:rsid w:val="36DE64B0"/>
    <w:rsid w:val="371D1635"/>
    <w:rsid w:val="376F4C7E"/>
    <w:rsid w:val="37EE7F5B"/>
    <w:rsid w:val="389645E2"/>
    <w:rsid w:val="38DC21F6"/>
    <w:rsid w:val="38DC3D18"/>
    <w:rsid w:val="39070E1E"/>
    <w:rsid w:val="390F6206"/>
    <w:rsid w:val="391C4F51"/>
    <w:rsid w:val="392F1E8A"/>
    <w:rsid w:val="399E5045"/>
    <w:rsid w:val="39E47CC6"/>
    <w:rsid w:val="3A401EBE"/>
    <w:rsid w:val="3A8D0965"/>
    <w:rsid w:val="3AE64655"/>
    <w:rsid w:val="3BC05939"/>
    <w:rsid w:val="3BFC3789"/>
    <w:rsid w:val="3C186431"/>
    <w:rsid w:val="3C1A4082"/>
    <w:rsid w:val="3CAE7F94"/>
    <w:rsid w:val="3CB901D5"/>
    <w:rsid w:val="3CFC74D1"/>
    <w:rsid w:val="3D2008FF"/>
    <w:rsid w:val="3D3F1BD3"/>
    <w:rsid w:val="3D604097"/>
    <w:rsid w:val="3D8C43A1"/>
    <w:rsid w:val="3D9176EC"/>
    <w:rsid w:val="3E133F10"/>
    <w:rsid w:val="3E1F6A8A"/>
    <w:rsid w:val="3E325DD8"/>
    <w:rsid w:val="3E6E2A06"/>
    <w:rsid w:val="3E7D4CC2"/>
    <w:rsid w:val="3EEC147F"/>
    <w:rsid w:val="3EEF422D"/>
    <w:rsid w:val="3F1432ED"/>
    <w:rsid w:val="3F81026C"/>
    <w:rsid w:val="400F5EDA"/>
    <w:rsid w:val="403727C1"/>
    <w:rsid w:val="405711C0"/>
    <w:rsid w:val="40C77B71"/>
    <w:rsid w:val="40F71B9C"/>
    <w:rsid w:val="4136629A"/>
    <w:rsid w:val="413E5E89"/>
    <w:rsid w:val="415155B9"/>
    <w:rsid w:val="41594C8F"/>
    <w:rsid w:val="41F52C8C"/>
    <w:rsid w:val="42111241"/>
    <w:rsid w:val="42472F2B"/>
    <w:rsid w:val="42DF3317"/>
    <w:rsid w:val="44022FA6"/>
    <w:rsid w:val="44B96530"/>
    <w:rsid w:val="45B537BE"/>
    <w:rsid w:val="461456FD"/>
    <w:rsid w:val="463A0617"/>
    <w:rsid w:val="46B43447"/>
    <w:rsid w:val="47055F22"/>
    <w:rsid w:val="475143DB"/>
    <w:rsid w:val="477F6EC7"/>
    <w:rsid w:val="478958B4"/>
    <w:rsid w:val="47C523AE"/>
    <w:rsid w:val="47E05E27"/>
    <w:rsid w:val="484C3430"/>
    <w:rsid w:val="48743B7E"/>
    <w:rsid w:val="487C7274"/>
    <w:rsid w:val="48B63C50"/>
    <w:rsid w:val="48F91C60"/>
    <w:rsid w:val="49C463BF"/>
    <w:rsid w:val="49D3087A"/>
    <w:rsid w:val="4A97598A"/>
    <w:rsid w:val="4ADC5E21"/>
    <w:rsid w:val="4B4B6AFE"/>
    <w:rsid w:val="4B5C389E"/>
    <w:rsid w:val="4BCA5029"/>
    <w:rsid w:val="4C3A0F90"/>
    <w:rsid w:val="4C823650"/>
    <w:rsid w:val="4D502CA3"/>
    <w:rsid w:val="4E2378E6"/>
    <w:rsid w:val="4E7E21F3"/>
    <w:rsid w:val="4E8C3267"/>
    <w:rsid w:val="4F556466"/>
    <w:rsid w:val="500E7A3A"/>
    <w:rsid w:val="50125404"/>
    <w:rsid w:val="503C5FA9"/>
    <w:rsid w:val="51EC0DC8"/>
    <w:rsid w:val="521202F6"/>
    <w:rsid w:val="525631E3"/>
    <w:rsid w:val="52EA4513"/>
    <w:rsid w:val="53B13AB0"/>
    <w:rsid w:val="54457082"/>
    <w:rsid w:val="544D7F48"/>
    <w:rsid w:val="551C1A7C"/>
    <w:rsid w:val="55205CDA"/>
    <w:rsid w:val="55207A78"/>
    <w:rsid w:val="558A2008"/>
    <w:rsid w:val="55F67551"/>
    <w:rsid w:val="560A2ADA"/>
    <w:rsid w:val="56521C5F"/>
    <w:rsid w:val="569A5B2B"/>
    <w:rsid w:val="569E6160"/>
    <w:rsid w:val="56A5035E"/>
    <w:rsid w:val="56A74C79"/>
    <w:rsid w:val="56F33017"/>
    <w:rsid w:val="570E1398"/>
    <w:rsid w:val="573A7EC7"/>
    <w:rsid w:val="573E5B2A"/>
    <w:rsid w:val="574E7A78"/>
    <w:rsid w:val="57E42D1D"/>
    <w:rsid w:val="580D24E0"/>
    <w:rsid w:val="580D24E6"/>
    <w:rsid w:val="585D09E2"/>
    <w:rsid w:val="589A1A82"/>
    <w:rsid w:val="58C704A6"/>
    <w:rsid w:val="593558D9"/>
    <w:rsid w:val="59713FC0"/>
    <w:rsid w:val="5A7A07C2"/>
    <w:rsid w:val="5AB722AA"/>
    <w:rsid w:val="5AC64F7C"/>
    <w:rsid w:val="5B0D524B"/>
    <w:rsid w:val="5B127639"/>
    <w:rsid w:val="5BBA1AB5"/>
    <w:rsid w:val="5C1C5AED"/>
    <w:rsid w:val="5C3A4BAB"/>
    <w:rsid w:val="5CFA010A"/>
    <w:rsid w:val="5D1522D1"/>
    <w:rsid w:val="5D255788"/>
    <w:rsid w:val="5D7D4C07"/>
    <w:rsid w:val="5E2321D1"/>
    <w:rsid w:val="5E7705D8"/>
    <w:rsid w:val="5E797DDC"/>
    <w:rsid w:val="5EAF3B3B"/>
    <w:rsid w:val="5EC773E5"/>
    <w:rsid w:val="5EDB3051"/>
    <w:rsid w:val="5FBA6C5F"/>
    <w:rsid w:val="5FD81A24"/>
    <w:rsid w:val="60A36834"/>
    <w:rsid w:val="60AE3F81"/>
    <w:rsid w:val="60B50B28"/>
    <w:rsid w:val="60C77983"/>
    <w:rsid w:val="60D358FB"/>
    <w:rsid w:val="613072AE"/>
    <w:rsid w:val="613F4DB6"/>
    <w:rsid w:val="6244582F"/>
    <w:rsid w:val="624501B9"/>
    <w:rsid w:val="628344D7"/>
    <w:rsid w:val="62A5434F"/>
    <w:rsid w:val="63343D89"/>
    <w:rsid w:val="63D218BA"/>
    <w:rsid w:val="63E82F1E"/>
    <w:rsid w:val="63FE2181"/>
    <w:rsid w:val="64654762"/>
    <w:rsid w:val="648D50DA"/>
    <w:rsid w:val="64A01811"/>
    <w:rsid w:val="64E60C78"/>
    <w:rsid w:val="65EB7DBC"/>
    <w:rsid w:val="65EC2315"/>
    <w:rsid w:val="65F4409B"/>
    <w:rsid w:val="66026718"/>
    <w:rsid w:val="66155609"/>
    <w:rsid w:val="6619365B"/>
    <w:rsid w:val="664F1DF4"/>
    <w:rsid w:val="66A003C5"/>
    <w:rsid w:val="66D91291"/>
    <w:rsid w:val="67E6129B"/>
    <w:rsid w:val="688E32D3"/>
    <w:rsid w:val="69361F6A"/>
    <w:rsid w:val="694F5461"/>
    <w:rsid w:val="697465DC"/>
    <w:rsid w:val="69DC5174"/>
    <w:rsid w:val="6A004568"/>
    <w:rsid w:val="6A2849ED"/>
    <w:rsid w:val="6A6731DC"/>
    <w:rsid w:val="6B0D25BF"/>
    <w:rsid w:val="6B35623A"/>
    <w:rsid w:val="6BA475CA"/>
    <w:rsid w:val="6C5E3625"/>
    <w:rsid w:val="6D58658B"/>
    <w:rsid w:val="6D787D5F"/>
    <w:rsid w:val="6D9549D2"/>
    <w:rsid w:val="6E264DCC"/>
    <w:rsid w:val="6EEF4AB7"/>
    <w:rsid w:val="707A5F72"/>
    <w:rsid w:val="707F61DC"/>
    <w:rsid w:val="70CE013D"/>
    <w:rsid w:val="70DF6BCF"/>
    <w:rsid w:val="717822D5"/>
    <w:rsid w:val="71F12A92"/>
    <w:rsid w:val="724E1D3D"/>
    <w:rsid w:val="729E772D"/>
    <w:rsid w:val="72A11DDD"/>
    <w:rsid w:val="72C16D41"/>
    <w:rsid w:val="732A54B8"/>
    <w:rsid w:val="73832240"/>
    <w:rsid w:val="73976D8D"/>
    <w:rsid w:val="73C535A2"/>
    <w:rsid w:val="74593494"/>
    <w:rsid w:val="74620A1B"/>
    <w:rsid w:val="74DD75C8"/>
    <w:rsid w:val="74E0167E"/>
    <w:rsid w:val="756F617E"/>
    <w:rsid w:val="758314A9"/>
    <w:rsid w:val="76154EB4"/>
    <w:rsid w:val="765E6213"/>
    <w:rsid w:val="76E556B0"/>
    <w:rsid w:val="77576F4D"/>
    <w:rsid w:val="7778649D"/>
    <w:rsid w:val="7780585E"/>
    <w:rsid w:val="77FE37AA"/>
    <w:rsid w:val="7820390D"/>
    <w:rsid w:val="783321C3"/>
    <w:rsid w:val="786D6718"/>
    <w:rsid w:val="789842D7"/>
    <w:rsid w:val="79BD0EA3"/>
    <w:rsid w:val="79C7365A"/>
    <w:rsid w:val="7A221748"/>
    <w:rsid w:val="7A3E5D8F"/>
    <w:rsid w:val="7A980794"/>
    <w:rsid w:val="7B0621AC"/>
    <w:rsid w:val="7B0F74C2"/>
    <w:rsid w:val="7B2B57A8"/>
    <w:rsid w:val="7C4234A3"/>
    <w:rsid w:val="7C861159"/>
    <w:rsid w:val="7C9D3D17"/>
    <w:rsid w:val="7CAB7D49"/>
    <w:rsid w:val="7CB61EAE"/>
    <w:rsid w:val="7D5F7418"/>
    <w:rsid w:val="7DEC2750"/>
    <w:rsid w:val="7ECE77F6"/>
    <w:rsid w:val="7ED021B9"/>
    <w:rsid w:val="7EE14ADB"/>
    <w:rsid w:val="7F015A79"/>
    <w:rsid w:val="7F0A33D2"/>
    <w:rsid w:val="7F2D18D6"/>
    <w:rsid w:val="7FCF1CB1"/>
    <w:rsid w:val="7FD7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Char"/>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1479</Words>
  <Characters>8433</Characters>
  <Lines>70</Lines>
  <Paragraphs>19</Paragraphs>
  <TotalTime>1</TotalTime>
  <ScaleCrop>false</ScaleCrop>
  <LinksUpToDate>false</LinksUpToDate>
  <CharactersWithSpaces>9893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2020-01-21T08:56:00Z</cp:lastPrinted>
  <dcterms:modified xsi:type="dcterms:W3CDTF">2020-11-26T04:47:49Z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