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line="460" w:lineRule="exact"/>
        <w:ind w:firstLine="1405" w:firstLineChars="350"/>
        <w:outlineLvl w:val="1"/>
        <w:rPr>
          <w:rFonts w:ascii="仿宋_GB2312" w:hAnsi="宋体" w:eastAsia="仿宋_GB2312"/>
          <w:b/>
          <w:kern w:val="0"/>
          <w:sz w:val="40"/>
          <w:szCs w:val="40"/>
        </w:rPr>
      </w:pPr>
      <w:r>
        <w:rPr>
          <w:rFonts w:hint="eastAsia" w:ascii="仿宋_GB2312" w:hAnsi="宋体" w:eastAsia="仿宋_GB2312"/>
          <w:b/>
          <w:kern w:val="0"/>
          <w:sz w:val="40"/>
          <w:szCs w:val="40"/>
        </w:rPr>
        <w:t>克孜勒苏柯尔克孜自治州供销合作社</w:t>
      </w:r>
    </w:p>
    <w:p>
      <w:pPr>
        <w:widowControl/>
        <w:spacing w:line="460" w:lineRule="exact"/>
        <w:ind w:firstLine="2610" w:firstLineChars="650"/>
        <w:outlineLvl w:val="1"/>
        <w:rPr>
          <w:rFonts w:ascii="仿宋_GB2312" w:hAnsi="宋体" w:eastAsia="仿宋_GB2312"/>
          <w:b/>
          <w:kern w:val="0"/>
          <w:sz w:val="40"/>
          <w:szCs w:val="40"/>
        </w:rPr>
      </w:pPr>
      <w:r>
        <w:rPr>
          <w:rFonts w:hint="eastAsia" w:ascii="仿宋_GB2312" w:hAnsi="宋体" w:eastAsia="仿宋_GB2312"/>
          <w:b/>
          <w:kern w:val="0"/>
          <w:sz w:val="40"/>
          <w:szCs w:val="40"/>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p>
    <w:p>
      <w:pPr>
        <w:widowControl/>
        <w:spacing w:line="460" w:lineRule="exact"/>
        <w:ind w:firstLine="900" w:firstLineChars="250"/>
        <w:jc w:val="center"/>
        <w:outlineLvl w:val="1"/>
        <w:rPr>
          <w:rFonts w:ascii="黑体" w:hAnsi="黑体" w:eastAsia="黑体"/>
          <w:kern w:val="0"/>
          <w:sz w:val="36"/>
          <w:szCs w:val="32"/>
        </w:rPr>
      </w:pPr>
    </w:p>
    <w:p>
      <w:pPr>
        <w:widowControl/>
        <w:spacing w:line="460" w:lineRule="exact"/>
        <w:ind w:firstLine="900" w:firstLineChars="250"/>
        <w:jc w:val="center"/>
        <w:outlineLvl w:val="1"/>
        <w:rPr>
          <w:rFonts w:ascii="黑体" w:hAnsi="黑体" w:eastAsia="黑体"/>
          <w:kern w:val="0"/>
          <w:sz w:val="36"/>
          <w:szCs w:val="32"/>
        </w:rPr>
      </w:pPr>
    </w:p>
    <w:p>
      <w:pPr>
        <w:widowControl/>
        <w:spacing w:line="460" w:lineRule="exact"/>
        <w:ind w:firstLine="3600" w:firstLineChars="1000"/>
        <w:outlineLvl w:val="1"/>
        <w:rPr>
          <w:rFonts w:ascii="黑体" w:hAnsi="黑体" w:eastAsia="黑体"/>
          <w:kern w:val="0"/>
          <w:sz w:val="36"/>
          <w:szCs w:val="32"/>
        </w:rPr>
      </w:pPr>
    </w:p>
    <w:p>
      <w:pPr>
        <w:widowControl/>
        <w:spacing w:line="460" w:lineRule="exact"/>
        <w:ind w:firstLine="3600" w:firstLineChars="1000"/>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克州供销社单位概况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一、关于克州供销社2020年收支预算情况的总体说明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二、关于克州供销社2020年收入预算情况说明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三、关于克州供销社2020年支出预算情况说明</w:t>
      </w:r>
    </w:p>
    <w:p>
      <w:pPr>
        <w:widowControl/>
        <w:spacing w:line="460" w:lineRule="exact"/>
        <w:ind w:firstLine="640" w:firstLineChars="200"/>
        <w:outlineLvl w:val="1"/>
        <w:rPr>
          <w:rFonts w:ascii="仿宋_GB2312" w:hAnsi="宋体" w:eastAsia="仿宋_GB2312"/>
          <w:bCs/>
          <w:w w:val="80"/>
          <w:kern w:val="0"/>
          <w:sz w:val="32"/>
          <w:szCs w:val="32"/>
        </w:rPr>
      </w:pPr>
      <w:r>
        <w:rPr>
          <w:rFonts w:hint="eastAsia" w:ascii="仿宋_GB2312" w:hAnsi="宋体" w:eastAsia="仿宋_GB2312"/>
          <w:bCs/>
          <w:kern w:val="0"/>
          <w:sz w:val="32"/>
          <w:szCs w:val="32"/>
        </w:rPr>
        <w:t>四、</w:t>
      </w:r>
      <w:r>
        <w:rPr>
          <w:rFonts w:hint="eastAsia" w:ascii="仿宋_GB2312" w:hAnsi="宋体" w:eastAsia="仿宋_GB2312"/>
          <w:bCs/>
          <w:w w:val="80"/>
          <w:kern w:val="0"/>
          <w:sz w:val="32"/>
          <w:szCs w:val="32"/>
        </w:rPr>
        <w:t>关于</w:t>
      </w:r>
      <w:r>
        <w:rPr>
          <w:rFonts w:hint="eastAsia" w:ascii="仿宋_GB2312" w:hAnsi="宋体" w:eastAsia="仿宋_GB2312"/>
          <w:w w:val="80"/>
          <w:kern w:val="0"/>
          <w:sz w:val="32"/>
          <w:szCs w:val="32"/>
        </w:rPr>
        <w:t>克州供销社2020</w:t>
      </w:r>
      <w:r>
        <w:rPr>
          <w:rFonts w:hint="eastAsia" w:ascii="仿宋_GB2312" w:hAnsi="宋体" w:eastAsia="仿宋_GB2312"/>
          <w:bCs/>
          <w:w w:val="80"/>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w w:val="80"/>
          <w:kern w:val="0"/>
          <w:sz w:val="32"/>
          <w:szCs w:val="32"/>
        </w:rPr>
      </w:pPr>
      <w:r>
        <w:rPr>
          <w:rFonts w:hint="eastAsia" w:ascii="仿宋_GB2312" w:hAnsi="宋体" w:eastAsia="仿宋_GB2312"/>
          <w:kern w:val="0"/>
          <w:sz w:val="32"/>
          <w:szCs w:val="32"/>
        </w:rPr>
        <w:t>五、</w:t>
      </w:r>
      <w:r>
        <w:rPr>
          <w:rFonts w:hint="eastAsia" w:ascii="仿宋_GB2312" w:hAnsi="宋体" w:eastAsia="仿宋_GB2312"/>
          <w:w w:val="80"/>
          <w:kern w:val="0"/>
          <w:sz w:val="32"/>
          <w:szCs w:val="32"/>
        </w:rPr>
        <w:t>关于克州供销社2020年一般公共预算当年拨款情况说明</w:t>
      </w:r>
    </w:p>
    <w:p>
      <w:pPr>
        <w:widowControl/>
        <w:spacing w:line="460" w:lineRule="exact"/>
        <w:ind w:firstLine="640" w:firstLineChars="200"/>
        <w:outlineLvl w:val="1"/>
        <w:rPr>
          <w:rFonts w:ascii="仿宋_GB2312" w:hAnsi="宋体" w:eastAsia="仿宋_GB2312"/>
          <w:w w:val="80"/>
          <w:kern w:val="0"/>
          <w:sz w:val="32"/>
          <w:szCs w:val="32"/>
        </w:rPr>
      </w:pPr>
      <w:r>
        <w:rPr>
          <w:rFonts w:hint="eastAsia" w:ascii="仿宋_GB2312" w:hAnsi="宋体" w:eastAsia="仿宋_GB2312"/>
          <w:kern w:val="0"/>
          <w:sz w:val="32"/>
          <w:szCs w:val="32"/>
        </w:rPr>
        <w:t>六、</w:t>
      </w:r>
      <w:r>
        <w:rPr>
          <w:rFonts w:hint="eastAsia" w:ascii="仿宋_GB2312" w:hAnsi="宋体" w:eastAsia="仿宋_GB2312"/>
          <w:w w:val="80"/>
          <w:kern w:val="0"/>
          <w:sz w:val="32"/>
          <w:szCs w:val="32"/>
        </w:rPr>
        <w:t>关于克州供销社2020年一般公共预算基本支出情况说明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七、关于克州供销社2020年项目支出情况说明</w:t>
      </w:r>
    </w:p>
    <w:p>
      <w:pPr>
        <w:widowControl/>
        <w:spacing w:line="460" w:lineRule="exact"/>
        <w:ind w:firstLine="640" w:firstLineChars="200"/>
        <w:outlineLvl w:val="1"/>
        <w:rPr>
          <w:rFonts w:ascii="仿宋_GB2312" w:hAnsi="宋体" w:eastAsia="仿宋_GB2312"/>
          <w:w w:val="80"/>
          <w:kern w:val="0"/>
          <w:sz w:val="32"/>
          <w:szCs w:val="32"/>
        </w:rPr>
      </w:pPr>
      <w:r>
        <w:rPr>
          <w:rFonts w:hint="eastAsia" w:ascii="仿宋_GB2312" w:hAnsi="宋体" w:eastAsia="仿宋_GB2312"/>
          <w:kern w:val="0"/>
          <w:sz w:val="32"/>
          <w:szCs w:val="32"/>
        </w:rPr>
        <w:t>八、</w:t>
      </w:r>
      <w:r>
        <w:rPr>
          <w:rFonts w:hint="eastAsia" w:ascii="仿宋_GB2312" w:hAnsi="宋体" w:eastAsia="仿宋_GB2312"/>
          <w:w w:val="80"/>
          <w:kern w:val="0"/>
          <w:sz w:val="32"/>
          <w:szCs w:val="32"/>
        </w:rPr>
        <w:t>关于克州供销社2020年一般公共预算“三公”经费预算情况说明</w:t>
      </w:r>
    </w:p>
    <w:p>
      <w:pPr>
        <w:widowControl/>
        <w:spacing w:line="460" w:lineRule="exact"/>
        <w:ind w:firstLine="640" w:firstLineChars="200"/>
        <w:outlineLvl w:val="1"/>
        <w:rPr>
          <w:rFonts w:ascii="仿宋_GB2312" w:hAnsi="宋体" w:eastAsia="仿宋_GB2312"/>
          <w:w w:val="80"/>
          <w:kern w:val="0"/>
          <w:sz w:val="32"/>
          <w:szCs w:val="32"/>
        </w:rPr>
      </w:pPr>
      <w:r>
        <w:rPr>
          <w:rFonts w:hint="eastAsia" w:ascii="仿宋_GB2312" w:hAnsi="宋体" w:eastAsia="仿宋_GB2312"/>
          <w:kern w:val="0"/>
          <w:sz w:val="32"/>
          <w:szCs w:val="32"/>
        </w:rPr>
        <w:t>九、</w:t>
      </w:r>
      <w:r>
        <w:rPr>
          <w:rFonts w:hint="eastAsia" w:ascii="仿宋_GB2312" w:hAnsi="宋体" w:eastAsia="仿宋_GB2312"/>
          <w:w w:val="80"/>
          <w:kern w:val="0"/>
          <w:sz w:val="32"/>
          <w:szCs w:val="32"/>
        </w:rPr>
        <w:t>关于克州供销社2020年政府性基金预算拨款情况说明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克州供销社单位概况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克州供销社是为农服务，促进城乡物资交流保障市场供给农业生产资料以及农产品流通体制改革建设规划“三农”综合服务开发与支持，农业生产资料以及农产品市场服务，相关社会服务。</w:t>
      </w:r>
    </w:p>
    <w:p>
      <w:pPr>
        <w:widowControl/>
        <w:spacing w:line="560" w:lineRule="exact"/>
        <w:ind w:firstLine="480" w:firstLineChars="150"/>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napToGrid w:val="0"/>
        <w:spacing w:line="560" w:lineRule="exact"/>
        <w:ind w:firstLine="640" w:firstLineChars="200"/>
        <w:rPr>
          <w:rFonts w:ascii="仿宋" w:hAnsi="仿宋" w:eastAsia="仿宋"/>
          <w:sz w:val="32"/>
          <w:szCs w:val="32"/>
        </w:rPr>
      </w:pPr>
      <w:r>
        <w:rPr>
          <w:rFonts w:hint="eastAsia" w:ascii="仿宋_GB2312" w:hAnsi="黑体" w:eastAsia="仿宋_GB2312" w:cs="宋体"/>
          <w:bCs/>
          <w:kern w:val="0"/>
          <w:sz w:val="32"/>
          <w:szCs w:val="32"/>
        </w:rPr>
        <w:t>克州供销社无下属预算单位，下设6个</w:t>
      </w:r>
      <w:r>
        <w:rPr>
          <w:rFonts w:hint="eastAsia" w:ascii="仿宋_GB2312" w:hAnsi="黑体" w:eastAsia="仿宋_GB2312" w:cs="宋体"/>
          <w:bCs/>
          <w:color w:val="000000" w:themeColor="text1"/>
          <w:kern w:val="0"/>
          <w:sz w:val="32"/>
          <w:szCs w:val="32"/>
        </w:rPr>
        <w:t>科室</w:t>
      </w:r>
      <w:r>
        <w:rPr>
          <w:rFonts w:hint="eastAsia" w:ascii="仿宋_GB2312" w:hAnsi="黑体" w:eastAsia="仿宋_GB2312" w:cs="宋体"/>
          <w:bCs/>
          <w:kern w:val="0"/>
          <w:sz w:val="32"/>
          <w:szCs w:val="32"/>
        </w:rPr>
        <w:t>，分别是：</w:t>
      </w:r>
      <w:r>
        <w:rPr>
          <w:rFonts w:hint="eastAsia" w:ascii="仿宋" w:hAnsi="仿宋" w:eastAsia="仿宋"/>
          <w:sz w:val="32"/>
          <w:szCs w:val="32"/>
        </w:rPr>
        <w:t>办公室、财会审计科、基层指导科、综合业务科、纪检监察室及资产监督管理办公室（事业单位）。</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克州供销社编制数17，实有人数15人，其中：在职15人，增加或减少0人； 退休25人，增加1人；离休 2人，增加或减少0人。</w:t>
      </w:r>
    </w:p>
    <w:p>
      <w:pPr>
        <w:widowControl/>
        <w:spacing w:line="560" w:lineRule="exact"/>
        <w:jc w:val="left"/>
        <w:rPr>
          <w:rFonts w:ascii="仿宋_GB2312" w:hAnsi="宋体" w:eastAsia="仿宋_GB2312" w:cs="宋体"/>
          <w:kern w:val="0"/>
          <w:sz w:val="32"/>
          <w:szCs w:val="32"/>
        </w:rPr>
      </w:pPr>
    </w:p>
    <w:p>
      <w:pPr>
        <w:widowControl/>
        <w:spacing w:beforeLines="50"/>
        <w:outlineLvl w:val="1"/>
        <w:rPr>
          <w:rFonts w:ascii="仿宋_GB2312" w:hAnsi="宋体" w:eastAsia="仿宋_GB2312" w:cs="宋体"/>
          <w:kern w:val="0"/>
          <w:sz w:val="32"/>
          <w:szCs w:val="32"/>
        </w:rPr>
      </w:pPr>
    </w:p>
    <w:p>
      <w:pPr>
        <w:widowControl/>
        <w:spacing w:beforeLines="50"/>
        <w:outlineLvl w:val="1"/>
        <w:rPr>
          <w:rFonts w:ascii="仿宋_GB2312" w:hAnsi="宋体" w:eastAsia="仿宋_GB2312" w:cs="宋体"/>
          <w:kern w:val="0"/>
          <w:sz w:val="32"/>
          <w:szCs w:val="32"/>
        </w:rPr>
      </w:pPr>
    </w:p>
    <w:p>
      <w:pPr>
        <w:widowControl/>
        <w:spacing w:beforeLines="50"/>
        <w:outlineLvl w:val="1"/>
        <w:rPr>
          <w:rFonts w:ascii="仿宋_GB2312" w:hAnsi="宋体" w:eastAsia="仿宋_GB2312" w:cs="宋体"/>
          <w:kern w:val="0"/>
          <w:sz w:val="32"/>
          <w:szCs w:val="32"/>
        </w:rPr>
      </w:pPr>
    </w:p>
    <w:p>
      <w:pPr>
        <w:widowControl/>
        <w:spacing w:beforeLines="50"/>
        <w:outlineLvl w:val="1"/>
        <w:rPr>
          <w:rFonts w:ascii="仿宋_GB2312" w:hAnsi="宋体" w:eastAsia="仿宋_GB2312" w:cs="宋体"/>
          <w:kern w:val="0"/>
          <w:sz w:val="32"/>
          <w:szCs w:val="32"/>
        </w:rPr>
      </w:pPr>
    </w:p>
    <w:p>
      <w:pPr>
        <w:widowControl/>
        <w:spacing w:beforeLines="50"/>
        <w:outlineLvl w:val="1"/>
        <w:rPr>
          <w:rFonts w:ascii="仿宋_GB2312" w:hAnsi="宋体" w:eastAsia="仿宋_GB2312" w:cs="宋体"/>
          <w:kern w:val="0"/>
          <w:sz w:val="32"/>
          <w:szCs w:val="32"/>
        </w:rPr>
      </w:pPr>
    </w:p>
    <w:p>
      <w:pPr>
        <w:widowControl/>
        <w:spacing w:beforeLines="50"/>
        <w:outlineLvl w:val="1"/>
        <w:rPr>
          <w:rFonts w:ascii="仿宋_GB2312" w:hAnsi="宋体" w:eastAsia="仿宋_GB2312" w:cs="宋体"/>
          <w:kern w:val="0"/>
          <w:sz w:val="32"/>
          <w:szCs w:val="32"/>
        </w:rPr>
      </w:pPr>
    </w:p>
    <w:p>
      <w:pPr>
        <w:widowControl/>
        <w:spacing w:beforeLines="50"/>
        <w:outlineLvl w:val="1"/>
        <w:rPr>
          <w:rFonts w:ascii="仿宋_GB2312" w:hAnsi="宋体" w:eastAsia="仿宋_GB2312" w:cs="宋体"/>
          <w:kern w:val="0"/>
          <w:sz w:val="32"/>
          <w:szCs w:val="32"/>
        </w:rPr>
      </w:pPr>
    </w:p>
    <w:p>
      <w:pPr>
        <w:widowControl/>
        <w:spacing w:beforeLines="50"/>
        <w:outlineLvl w:val="1"/>
        <w:rPr>
          <w:rFonts w:ascii="仿宋_GB2312" w:hAnsi="宋体" w:eastAsia="仿宋_GB2312" w:cs="宋体"/>
          <w:kern w:val="0"/>
          <w:sz w:val="32"/>
          <w:szCs w:val="32"/>
        </w:rPr>
      </w:pPr>
    </w:p>
    <w:p>
      <w:pPr>
        <w:widowControl/>
        <w:spacing w:beforeLines="50"/>
        <w:ind w:firstLine="1920" w:firstLineChars="600"/>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 克州供销社                                        单位：万元</w:t>
      </w:r>
    </w:p>
    <w:tbl>
      <w:tblPr>
        <w:tblStyle w:val="7"/>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306.14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306.14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318.14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318.14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318.14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克州供销社                                        单位：万元</w:t>
      </w:r>
    </w:p>
    <w:tbl>
      <w:tblPr>
        <w:tblStyle w:val="7"/>
        <w:tblW w:w="9566" w:type="dxa"/>
        <w:tblInd w:w="-450" w:type="dxa"/>
        <w:tblLayout w:type="fixed"/>
        <w:tblCellMar>
          <w:top w:w="0" w:type="dxa"/>
          <w:left w:w="108" w:type="dxa"/>
          <w:bottom w:w="0" w:type="dxa"/>
          <w:right w:w="108" w:type="dxa"/>
        </w:tblCellMar>
      </w:tblPr>
      <w:tblGrid>
        <w:gridCol w:w="576"/>
        <w:gridCol w:w="458"/>
        <w:gridCol w:w="458"/>
        <w:gridCol w:w="845"/>
        <w:gridCol w:w="828"/>
        <w:gridCol w:w="827"/>
        <w:gridCol w:w="535"/>
        <w:gridCol w:w="482"/>
        <w:gridCol w:w="453"/>
        <w:gridCol w:w="478"/>
        <w:gridCol w:w="502"/>
        <w:gridCol w:w="453"/>
        <w:gridCol w:w="1176"/>
        <w:gridCol w:w="514"/>
        <w:gridCol w:w="981"/>
      </w:tblGrid>
      <w:tr>
        <w:tblPrEx>
          <w:tblCellMar>
            <w:top w:w="0" w:type="dxa"/>
            <w:left w:w="108" w:type="dxa"/>
            <w:bottom w:w="0" w:type="dxa"/>
            <w:right w:w="108" w:type="dxa"/>
          </w:tblCellMar>
        </w:tblPrEx>
        <w:trPr>
          <w:trHeight w:val="510" w:hRule="atLeast"/>
        </w:trPr>
        <w:tc>
          <w:tcPr>
            <w:tcW w:w="14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8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78"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5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1176"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51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9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2737"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8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8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78"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5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76"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51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8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1101"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216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行政运行（商业流通事务）　</w:t>
            </w:r>
          </w:p>
        </w:tc>
        <w:tc>
          <w:tcPr>
            <w:tcW w:w="82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299.14</w:t>
            </w:r>
          </w:p>
        </w:tc>
        <w:tc>
          <w:tcPr>
            <w:tcW w:w="82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299.14　</w:t>
            </w:r>
          </w:p>
        </w:tc>
        <w:tc>
          <w:tcPr>
            <w:tcW w:w="53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50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76" w:type="dxa"/>
            <w:tcBorders>
              <w:top w:val="single" w:color="auto" w:sz="4" w:space="0"/>
              <w:left w:val="nil"/>
              <w:bottom w:val="single" w:color="auto" w:sz="4" w:space="0"/>
              <w:right w:val="single" w:color="auto" w:sz="4" w:space="0"/>
            </w:tcBorders>
            <w:shd w:val="clear" w:color="000000" w:fill="FFFFFF"/>
          </w:tcPr>
          <w:p>
            <w:pPr>
              <w:rPr>
                <w:rFonts w:ascii="仿宋_GB2312" w:eastAsia="仿宋_GB2312"/>
                <w:color w:val="000000"/>
                <w:sz w:val="20"/>
                <w:szCs w:val="20"/>
              </w:rPr>
            </w:pPr>
          </w:p>
          <w:p>
            <w:pPr>
              <w:rPr>
                <w:rFonts w:ascii="仿宋_GB2312" w:eastAsia="仿宋_GB2312"/>
                <w:color w:val="000000"/>
                <w:sz w:val="20"/>
                <w:szCs w:val="20"/>
              </w:rPr>
            </w:pPr>
          </w:p>
          <w:p>
            <w:pPr>
              <w:rPr>
                <w:rFonts w:ascii="仿宋_GB2312" w:eastAsia="仿宋_GB2312"/>
                <w:color w:val="000000"/>
                <w:sz w:val="20"/>
                <w:szCs w:val="20"/>
              </w:rPr>
            </w:pPr>
          </w:p>
          <w:p>
            <w:pPr>
              <w:rPr>
                <w:rFonts w:ascii="仿宋_GB2312" w:eastAsia="仿宋_GB2312"/>
                <w:color w:val="000000"/>
                <w:sz w:val="20"/>
                <w:szCs w:val="20"/>
              </w:rPr>
            </w:pPr>
          </w:p>
        </w:tc>
        <w:tc>
          <w:tcPr>
            <w:tcW w:w="51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81" w:type="dxa"/>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127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216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其他商业流通事务支出　</w:t>
            </w:r>
          </w:p>
        </w:tc>
        <w:tc>
          <w:tcPr>
            <w:tcW w:w="82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19.00　</w:t>
            </w:r>
          </w:p>
        </w:tc>
        <w:tc>
          <w:tcPr>
            <w:tcW w:w="82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7.00</w:t>
            </w:r>
          </w:p>
        </w:tc>
        <w:tc>
          <w:tcPr>
            <w:tcW w:w="5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0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76"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12.00</w:t>
            </w:r>
          </w:p>
        </w:tc>
        <w:tc>
          <w:tcPr>
            <w:tcW w:w="51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81"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554"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0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81"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0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81"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0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81"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0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81"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547"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0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81"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569"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0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81"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563"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318.14　</w:t>
            </w:r>
          </w:p>
        </w:tc>
        <w:tc>
          <w:tcPr>
            <w:tcW w:w="82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306.14　</w:t>
            </w:r>
          </w:p>
        </w:tc>
        <w:tc>
          <w:tcPr>
            <w:tcW w:w="5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8"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0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76" w:type="dxa"/>
            <w:tcBorders>
              <w:top w:val="single" w:color="auto" w:sz="4" w:space="0"/>
              <w:left w:val="nil"/>
              <w:bottom w:val="single" w:color="auto" w:sz="4" w:space="0"/>
              <w:right w:val="single" w:color="auto" w:sz="4" w:space="0"/>
            </w:tcBorders>
            <w:vAlign w:val="center"/>
          </w:tcPr>
          <w:p>
            <w:pPr>
              <w:ind w:right="400"/>
              <w:jc w:val="center"/>
              <w:rPr>
                <w:rFonts w:ascii="仿宋_GB2312" w:eastAsia="仿宋_GB2312"/>
                <w:color w:val="000000"/>
                <w:sz w:val="20"/>
                <w:szCs w:val="20"/>
              </w:rPr>
            </w:pPr>
            <w:r>
              <w:rPr>
                <w:rFonts w:hint="eastAsia" w:ascii="仿宋_GB2312" w:eastAsia="仿宋_GB2312"/>
                <w:color w:val="000000"/>
                <w:sz w:val="20"/>
                <w:szCs w:val="20"/>
              </w:rPr>
              <w:t>12.00</w:t>
            </w:r>
          </w:p>
        </w:tc>
        <w:tc>
          <w:tcPr>
            <w:tcW w:w="51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81"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克州供销社                                        单位：万元</w:t>
      </w:r>
    </w:p>
    <w:tbl>
      <w:tblPr>
        <w:tblStyle w:val="7"/>
        <w:tblW w:w="9420" w:type="dxa"/>
        <w:tblInd w:w="-240" w:type="dxa"/>
        <w:tblLayout w:type="autofit"/>
        <w:tblCellMar>
          <w:top w:w="0" w:type="dxa"/>
          <w:left w:w="108" w:type="dxa"/>
          <w:bottom w:w="0" w:type="dxa"/>
          <w:right w:w="108" w:type="dxa"/>
        </w:tblCellMar>
      </w:tblPr>
      <w:tblGrid>
        <w:gridCol w:w="458"/>
        <w:gridCol w:w="400"/>
        <w:gridCol w:w="400"/>
        <w:gridCol w:w="2776"/>
        <w:gridCol w:w="1652"/>
        <w:gridCol w:w="1843"/>
        <w:gridCol w:w="1891"/>
      </w:tblGrid>
      <w:tr>
        <w:tblPrEx>
          <w:tblCellMar>
            <w:top w:w="0" w:type="dxa"/>
            <w:left w:w="108" w:type="dxa"/>
            <w:bottom w:w="0" w:type="dxa"/>
            <w:right w:w="108" w:type="dxa"/>
          </w:tblCellMar>
        </w:tblPrEx>
        <w:trPr>
          <w:trHeight w:val="345" w:hRule="atLeast"/>
        </w:trPr>
        <w:tc>
          <w:tcPr>
            <w:tcW w:w="40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38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7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6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7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6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216</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02</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行政运行（商业流通事务）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318.14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299.14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216</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02</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其他商业流通事务支出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19.00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318.14</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299.14</w:t>
            </w:r>
          </w:p>
        </w:tc>
        <w:tc>
          <w:tcPr>
            <w:tcW w:w="1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19.00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 克州供销社                              单位：万元</w:t>
      </w:r>
    </w:p>
    <w:tbl>
      <w:tblPr>
        <w:tblStyle w:val="7"/>
        <w:tblW w:w="9449" w:type="dxa"/>
        <w:tblInd w:w="-240" w:type="dxa"/>
        <w:tblLayout w:type="autofit"/>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306.14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306.14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306.14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306.14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306.14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306.14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306.14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79" w:type="dxa"/>
        <w:tblInd w:w="-34" w:type="dxa"/>
        <w:tblLayout w:type="autofit"/>
        <w:tblCellMar>
          <w:top w:w="0" w:type="dxa"/>
          <w:left w:w="108" w:type="dxa"/>
          <w:bottom w:w="0" w:type="dxa"/>
          <w:right w:w="108" w:type="dxa"/>
        </w:tblCellMar>
      </w:tblPr>
      <w:tblGrid>
        <w:gridCol w:w="587"/>
        <w:gridCol w:w="492"/>
        <w:gridCol w:w="463"/>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79"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4052"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编制部门：克州供销社</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ind w:right="480" w:firstLine="1440" w:firstLineChars="6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40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54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216</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02</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行政运行（商业流通事务）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299.14</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299.14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216</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其他商业流通事务支出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b/>
                <w:color w:val="000000"/>
                <w:kern w:val="0"/>
                <w:sz w:val="20"/>
                <w:szCs w:val="20"/>
              </w:rPr>
              <w:t>7.00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仿宋_GB2312" w:hAnsi="宋体" w:eastAsia="仿宋_GB2312" w:cs="宋体"/>
                <w:b/>
                <w:color w:val="000000"/>
                <w:kern w:val="0"/>
                <w:sz w:val="20"/>
                <w:szCs w:val="20"/>
              </w:rPr>
              <w:t>7.00</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306.14</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299.14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417" w:type="dxa"/>
        <w:tblInd w:w="-148" w:type="dxa"/>
        <w:tblLayout w:type="autofit"/>
        <w:tblCellMar>
          <w:top w:w="0" w:type="dxa"/>
          <w:left w:w="108" w:type="dxa"/>
          <w:bottom w:w="0" w:type="dxa"/>
          <w:right w:w="108" w:type="dxa"/>
        </w:tblCellMar>
      </w:tblPr>
      <w:tblGrid>
        <w:gridCol w:w="757"/>
        <w:gridCol w:w="666"/>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41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31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编制部门：克州供销社</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31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42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30102</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86.00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86.00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30217</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0.20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0.20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303</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30305</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0.44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0.44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303</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30301</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离休费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28.48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28.48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30242</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1.80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1.80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30108</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22.73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22.73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30211</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1.50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1.50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30228</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0.98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0.98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303</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30399</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12.96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12.96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30239</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其他交通费用</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30229</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1.76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1.76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30201</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1.92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1.92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303</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30302</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21.18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21.18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30101</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70.50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70.50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30299</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30112</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24.43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24.43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30208</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0.84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0.84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30103</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奖金</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5.87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5.87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30113</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16.16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16.16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303</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30309</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1.19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1.19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66"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30213</w:t>
            </w:r>
          </w:p>
        </w:tc>
        <w:tc>
          <w:tcPr>
            <w:tcW w:w="2891"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0.20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0.20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299.14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289.94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ind w:right="-170" w:rightChars="-81"/>
        <w:jc w:val="left"/>
        <w:outlineLvl w:val="1"/>
        <w:rPr>
          <w:rFonts w:ascii="仿宋_GB2312" w:hAnsi="宋体" w:eastAsia="仿宋_GB2312"/>
          <w:b/>
          <w:kern w:val="0"/>
          <w:sz w:val="32"/>
          <w:szCs w:val="32"/>
        </w:rPr>
      </w:pPr>
    </w:p>
    <w:p>
      <w:pPr>
        <w:widowControl/>
        <w:ind w:right="-170" w:rightChars="-81"/>
        <w:jc w:val="left"/>
        <w:outlineLvl w:val="1"/>
        <w:rPr>
          <w:rFonts w:ascii="仿宋_GB2312" w:hAnsi="宋体" w:eastAsia="仿宋_GB2312"/>
          <w:b/>
          <w:kern w:val="0"/>
          <w:sz w:val="32"/>
          <w:szCs w:val="32"/>
        </w:rPr>
      </w:pPr>
    </w:p>
    <w:p>
      <w:pPr>
        <w:widowControl/>
        <w:ind w:right="-170" w:rightChars="-81"/>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0626" w:type="dxa"/>
        <w:tblInd w:w="-360" w:type="dxa"/>
        <w:tblLayout w:type="fixed"/>
        <w:tblCellMar>
          <w:top w:w="0" w:type="dxa"/>
          <w:left w:w="108" w:type="dxa"/>
          <w:bottom w:w="0" w:type="dxa"/>
          <w:right w:w="108" w:type="dxa"/>
        </w:tblCellMar>
      </w:tblPr>
      <w:tblGrid>
        <w:gridCol w:w="16"/>
        <w:gridCol w:w="594"/>
        <w:gridCol w:w="567"/>
        <w:gridCol w:w="463"/>
        <w:gridCol w:w="1096"/>
        <w:gridCol w:w="993"/>
        <w:gridCol w:w="850"/>
        <w:gridCol w:w="567"/>
        <w:gridCol w:w="278"/>
        <w:gridCol w:w="573"/>
        <w:gridCol w:w="567"/>
        <w:gridCol w:w="708"/>
        <w:gridCol w:w="567"/>
        <w:gridCol w:w="567"/>
        <w:gridCol w:w="567"/>
        <w:gridCol w:w="426"/>
        <w:gridCol w:w="425"/>
        <w:gridCol w:w="425"/>
        <w:gridCol w:w="377"/>
      </w:tblGrid>
      <w:tr>
        <w:tblPrEx>
          <w:tblCellMar>
            <w:top w:w="0" w:type="dxa"/>
            <w:left w:w="108" w:type="dxa"/>
            <w:bottom w:w="0" w:type="dxa"/>
            <w:right w:w="108" w:type="dxa"/>
          </w:tblCellMar>
        </w:tblPrEx>
        <w:trPr>
          <w:gridBefore w:val="1"/>
          <w:wBefore w:w="16" w:type="dxa"/>
          <w:trHeight w:val="375" w:hRule="atLeast"/>
        </w:trPr>
        <w:tc>
          <w:tcPr>
            <w:tcW w:w="10610"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wBefore w:w="16" w:type="dxa"/>
          <w:trHeight w:val="405" w:hRule="atLeast"/>
        </w:trPr>
        <w:tc>
          <w:tcPr>
            <w:tcW w:w="5408" w:type="dxa"/>
            <w:gridSpan w:val="8"/>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编制部门：克州供销社</w:t>
            </w:r>
          </w:p>
        </w:tc>
        <w:tc>
          <w:tcPr>
            <w:tcW w:w="573"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09"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220" w:type="dxa"/>
            <w:gridSpan w:val="5"/>
            <w:tcBorders>
              <w:top w:val="nil"/>
              <w:left w:val="nil"/>
              <w:bottom w:val="nil"/>
              <w:right w:val="nil"/>
            </w:tcBorders>
            <w:shd w:val="clear" w:color="auto" w:fill="auto"/>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630" w:hRule="atLeast"/>
        </w:trPr>
        <w:tc>
          <w:tcPr>
            <w:tcW w:w="1640"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96"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993"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8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51"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70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5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w:t>
            </w:r>
          </w:p>
          <w:p>
            <w:pPr>
              <w:widowControl/>
              <w:ind w:right="458" w:rightChars="218"/>
              <w:outlineLvl w:val="1"/>
              <w:rPr>
                <w:rFonts w:ascii="仿宋_GB2312" w:hAnsi="宋体" w:eastAsia="仿宋_GB2312"/>
                <w:b/>
                <w:kern w:val="0"/>
                <w:sz w:val="18"/>
                <w:szCs w:val="18"/>
              </w:rPr>
            </w:pPr>
            <w:r>
              <w:rPr>
                <w:rFonts w:hint="eastAsia" w:ascii="仿宋_GB2312" w:hAnsi="宋体" w:eastAsia="仿宋_GB2312"/>
                <w:b/>
                <w:kern w:val="0"/>
                <w:sz w:val="18"/>
                <w:szCs w:val="18"/>
              </w:rPr>
              <w:t>补助</w:t>
            </w:r>
          </w:p>
        </w:tc>
        <w:tc>
          <w:tcPr>
            <w:tcW w:w="42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2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2231" w:hRule="atLeast"/>
        </w:trPr>
        <w:tc>
          <w:tcPr>
            <w:tcW w:w="610"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6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63"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96"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99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1"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0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942" w:hRule="atLeast"/>
        </w:trPr>
        <w:tc>
          <w:tcPr>
            <w:tcW w:w="610" w:type="dxa"/>
            <w:gridSpan w:val="2"/>
            <w:shd w:val="clear" w:color="auto" w:fill="auto"/>
          </w:tcPr>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r>
              <w:rPr>
                <w:rFonts w:hint="eastAsia" w:ascii="仿宋_GB2312" w:hAnsi="宋体" w:eastAsia="仿宋_GB2312"/>
                <w:kern w:val="0"/>
                <w:szCs w:val="21"/>
              </w:rPr>
              <w:t>216　</w:t>
            </w:r>
          </w:p>
        </w:tc>
        <w:tc>
          <w:tcPr>
            <w:tcW w:w="567" w:type="dxa"/>
            <w:shd w:val="clear" w:color="auto" w:fill="auto"/>
          </w:tcPr>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r>
              <w:rPr>
                <w:rFonts w:hint="eastAsia" w:ascii="仿宋_GB2312" w:hAnsi="宋体" w:eastAsia="仿宋_GB2312"/>
                <w:kern w:val="0"/>
                <w:szCs w:val="21"/>
              </w:rPr>
              <w:t>02　</w:t>
            </w:r>
          </w:p>
        </w:tc>
        <w:tc>
          <w:tcPr>
            <w:tcW w:w="463" w:type="dxa"/>
            <w:shd w:val="clear" w:color="auto" w:fill="auto"/>
          </w:tcPr>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r>
              <w:rPr>
                <w:rFonts w:hint="eastAsia" w:ascii="仿宋_GB2312" w:hAnsi="宋体" w:eastAsia="仿宋_GB2312"/>
                <w:kern w:val="0"/>
                <w:szCs w:val="21"/>
              </w:rPr>
              <w:t>99　</w:t>
            </w:r>
          </w:p>
        </w:tc>
        <w:tc>
          <w:tcPr>
            <w:tcW w:w="1096"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其他商业流通事务支出</w:t>
            </w:r>
          </w:p>
        </w:tc>
        <w:tc>
          <w:tcPr>
            <w:tcW w:w="993"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为民办实事经费及第一书记工作经费　　</w:t>
            </w:r>
          </w:p>
        </w:tc>
        <w:tc>
          <w:tcPr>
            <w:tcW w:w="850" w:type="dxa"/>
            <w:shd w:val="clear" w:color="auto" w:fill="auto"/>
          </w:tcPr>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r>
              <w:rPr>
                <w:rFonts w:hint="eastAsia" w:ascii="仿宋_GB2312" w:hAnsi="宋体" w:eastAsia="仿宋_GB2312"/>
                <w:kern w:val="0"/>
                <w:szCs w:val="21"/>
              </w:rPr>
              <w:t>12.00　</w:t>
            </w:r>
          </w:p>
        </w:tc>
        <w:tc>
          <w:tcPr>
            <w:tcW w:w="567"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851" w:type="dxa"/>
            <w:gridSpan w:val="2"/>
            <w:shd w:val="clear" w:color="auto" w:fill="auto"/>
          </w:tcPr>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r>
              <w:rPr>
                <w:rFonts w:hint="eastAsia" w:ascii="仿宋_GB2312" w:hAnsi="宋体" w:eastAsia="仿宋_GB2312"/>
                <w:kern w:val="0"/>
                <w:szCs w:val="21"/>
              </w:rPr>
              <w:t>12.00　</w:t>
            </w:r>
          </w:p>
        </w:tc>
        <w:tc>
          <w:tcPr>
            <w:tcW w:w="567"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7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1136" w:hRule="atLeast"/>
        </w:trPr>
        <w:tc>
          <w:tcPr>
            <w:tcW w:w="610" w:type="dxa"/>
            <w:gridSpan w:val="2"/>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216</w:t>
            </w:r>
          </w:p>
        </w:tc>
        <w:tc>
          <w:tcPr>
            <w:tcW w:w="567" w:type="dxa"/>
            <w:shd w:val="clear" w:color="auto" w:fill="auto"/>
          </w:tcPr>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r>
              <w:rPr>
                <w:rFonts w:hint="eastAsia" w:ascii="仿宋_GB2312" w:hAnsi="宋体" w:eastAsia="仿宋_GB2312"/>
                <w:kern w:val="0"/>
                <w:szCs w:val="21"/>
              </w:rPr>
              <w:t>02　</w:t>
            </w:r>
          </w:p>
        </w:tc>
        <w:tc>
          <w:tcPr>
            <w:tcW w:w="463"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99</w:t>
            </w:r>
          </w:p>
        </w:tc>
        <w:tc>
          <w:tcPr>
            <w:tcW w:w="1096"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其他商业流通事务支出</w:t>
            </w:r>
          </w:p>
        </w:tc>
        <w:tc>
          <w:tcPr>
            <w:tcW w:w="993"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群众工作经费　</w:t>
            </w:r>
          </w:p>
        </w:tc>
        <w:tc>
          <w:tcPr>
            <w:tcW w:w="850"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p>
            <w:pPr>
              <w:widowControl/>
              <w:jc w:val="left"/>
              <w:outlineLvl w:val="1"/>
              <w:rPr>
                <w:rFonts w:ascii="仿宋_GB2312" w:hAnsi="宋体" w:eastAsia="仿宋_GB2312"/>
                <w:kern w:val="0"/>
                <w:szCs w:val="21"/>
              </w:rPr>
            </w:pPr>
            <w:r>
              <w:rPr>
                <w:rFonts w:hint="eastAsia" w:ascii="仿宋_GB2312" w:hAnsi="宋体" w:eastAsia="仿宋_GB2312"/>
                <w:kern w:val="0"/>
                <w:szCs w:val="21"/>
              </w:rPr>
              <w:t>7.00</w:t>
            </w:r>
          </w:p>
        </w:tc>
        <w:tc>
          <w:tcPr>
            <w:tcW w:w="567"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851" w:type="dxa"/>
            <w:gridSpan w:val="2"/>
            <w:shd w:val="clear" w:color="auto" w:fill="auto"/>
          </w:tcPr>
          <w:p>
            <w:pPr>
              <w:widowControl/>
              <w:jc w:val="left"/>
              <w:outlineLvl w:val="1"/>
              <w:rPr>
                <w:rFonts w:ascii="仿宋_GB2312" w:hAnsi="宋体" w:eastAsia="仿宋_GB2312"/>
                <w:kern w:val="0"/>
                <w:szCs w:val="21"/>
              </w:rPr>
            </w:pPr>
          </w:p>
          <w:p>
            <w:pPr>
              <w:widowControl/>
              <w:jc w:val="left"/>
              <w:outlineLvl w:val="1"/>
              <w:rPr>
                <w:rFonts w:ascii="仿宋_GB2312" w:hAnsi="宋体" w:eastAsia="仿宋_GB2312"/>
                <w:kern w:val="0"/>
                <w:szCs w:val="21"/>
              </w:rPr>
            </w:pPr>
            <w:r>
              <w:rPr>
                <w:rFonts w:hint="eastAsia" w:ascii="仿宋_GB2312" w:hAnsi="宋体" w:eastAsia="仿宋_GB2312"/>
                <w:kern w:val="0"/>
                <w:szCs w:val="21"/>
              </w:rPr>
              <w:t>7.00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585" w:hRule="atLeast"/>
        </w:trPr>
        <w:tc>
          <w:tcPr>
            <w:tcW w:w="610" w:type="dxa"/>
            <w:gridSpan w:val="2"/>
            <w:shd w:val="clear" w:color="auto" w:fill="auto"/>
          </w:tcPr>
          <w:p>
            <w:pPr>
              <w:widowControl/>
              <w:jc w:val="left"/>
              <w:outlineLvl w:val="1"/>
              <w:rPr>
                <w:rFonts w:ascii="仿宋_GB2312" w:hAnsi="宋体" w:eastAsia="仿宋_GB2312"/>
                <w:color w:val="FF0000"/>
                <w:kern w:val="0"/>
                <w:sz w:val="32"/>
                <w:szCs w:val="32"/>
              </w:rPr>
            </w:pPr>
            <w:r>
              <w:rPr>
                <w:rFonts w:hint="eastAsia" w:ascii="仿宋_GB2312" w:hAnsi="宋体" w:eastAsia="仿宋_GB2312"/>
                <w:color w:val="FF0000"/>
                <w:kern w:val="0"/>
                <w:sz w:val="32"/>
                <w:szCs w:val="32"/>
              </w:rPr>
              <w:t>　</w:t>
            </w:r>
          </w:p>
        </w:tc>
        <w:tc>
          <w:tcPr>
            <w:tcW w:w="567" w:type="dxa"/>
            <w:shd w:val="clear" w:color="auto" w:fill="auto"/>
          </w:tcPr>
          <w:p>
            <w:pPr>
              <w:widowControl/>
              <w:jc w:val="left"/>
              <w:outlineLvl w:val="1"/>
              <w:rPr>
                <w:rFonts w:ascii="仿宋_GB2312" w:hAnsi="宋体" w:eastAsia="仿宋_GB2312"/>
                <w:color w:val="FF0000"/>
                <w:kern w:val="0"/>
                <w:sz w:val="32"/>
                <w:szCs w:val="32"/>
              </w:rPr>
            </w:pPr>
            <w:r>
              <w:rPr>
                <w:rFonts w:hint="eastAsia" w:ascii="仿宋_GB2312" w:hAnsi="宋体" w:eastAsia="仿宋_GB2312"/>
                <w:color w:val="FF0000"/>
                <w:kern w:val="0"/>
                <w:sz w:val="32"/>
                <w:szCs w:val="32"/>
              </w:rPr>
              <w:t>　</w:t>
            </w:r>
          </w:p>
        </w:tc>
        <w:tc>
          <w:tcPr>
            <w:tcW w:w="463" w:type="dxa"/>
            <w:shd w:val="clear" w:color="auto" w:fill="auto"/>
          </w:tcPr>
          <w:p>
            <w:pPr>
              <w:widowControl/>
              <w:jc w:val="left"/>
              <w:outlineLvl w:val="1"/>
              <w:rPr>
                <w:rFonts w:ascii="仿宋_GB2312" w:hAnsi="宋体" w:eastAsia="仿宋_GB2312"/>
                <w:color w:val="FF0000"/>
                <w:kern w:val="0"/>
                <w:sz w:val="32"/>
                <w:szCs w:val="32"/>
              </w:rPr>
            </w:pPr>
            <w:r>
              <w:rPr>
                <w:rFonts w:hint="eastAsia" w:ascii="仿宋_GB2312" w:hAnsi="宋体" w:eastAsia="仿宋_GB2312"/>
                <w:color w:val="FF0000"/>
                <w:kern w:val="0"/>
                <w:sz w:val="32"/>
                <w:szCs w:val="32"/>
              </w:rPr>
              <w:t>　</w:t>
            </w:r>
          </w:p>
        </w:tc>
        <w:tc>
          <w:tcPr>
            <w:tcW w:w="1096" w:type="dxa"/>
            <w:shd w:val="clear" w:color="auto" w:fill="auto"/>
          </w:tcPr>
          <w:p>
            <w:pPr>
              <w:widowControl/>
              <w:jc w:val="left"/>
              <w:outlineLvl w:val="1"/>
              <w:rPr>
                <w:rFonts w:ascii="仿宋_GB2312" w:hAnsi="宋体" w:eastAsia="仿宋_GB2312"/>
                <w:color w:val="FF0000"/>
                <w:kern w:val="0"/>
                <w:sz w:val="32"/>
                <w:szCs w:val="32"/>
              </w:rPr>
            </w:pPr>
            <w:r>
              <w:rPr>
                <w:rFonts w:hint="eastAsia" w:ascii="仿宋_GB2312" w:hAnsi="宋体" w:eastAsia="仿宋_GB2312"/>
                <w:color w:val="FF0000"/>
                <w:kern w:val="0"/>
                <w:sz w:val="32"/>
                <w:szCs w:val="32"/>
              </w:rPr>
              <w:t>　</w:t>
            </w:r>
          </w:p>
        </w:tc>
        <w:tc>
          <w:tcPr>
            <w:tcW w:w="9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585" w:hRule="atLeast"/>
        </w:trPr>
        <w:tc>
          <w:tcPr>
            <w:tcW w:w="6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585" w:hRule="atLeast"/>
        </w:trPr>
        <w:tc>
          <w:tcPr>
            <w:tcW w:w="6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585" w:hRule="atLeast"/>
        </w:trPr>
        <w:tc>
          <w:tcPr>
            <w:tcW w:w="6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585" w:hRule="atLeast"/>
        </w:trPr>
        <w:tc>
          <w:tcPr>
            <w:tcW w:w="6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7" w:type="dxa"/>
          <w:trHeight w:val="585" w:hRule="atLeast"/>
        </w:trPr>
        <w:tc>
          <w:tcPr>
            <w:tcW w:w="6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3"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合计</w:t>
            </w:r>
          </w:p>
        </w:tc>
        <w:tc>
          <w:tcPr>
            <w:tcW w:w="850"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19.00</w:t>
            </w:r>
          </w:p>
        </w:tc>
        <w:tc>
          <w:tcPr>
            <w:tcW w:w="567"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w:t>
            </w:r>
          </w:p>
        </w:tc>
        <w:tc>
          <w:tcPr>
            <w:tcW w:w="851" w:type="dxa"/>
            <w:gridSpan w:val="2"/>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19.00</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克州供销社                                         单位：万元</w:t>
      </w:r>
    </w:p>
    <w:tbl>
      <w:tblPr>
        <w:tblStyle w:val="7"/>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0.20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0.20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克州供销社                                       单位：万元</w:t>
      </w:r>
    </w:p>
    <w:tbl>
      <w:tblPr>
        <w:tblStyle w:val="7"/>
        <w:tblW w:w="9214" w:type="dxa"/>
        <w:tblInd w:w="-34" w:type="dxa"/>
        <w:tblLayout w:type="autofit"/>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备注：我单位无政府性基金预算拨款安排的支出，故此表为空。</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700"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关于克州供销社2020年收支预算情况的总体说明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按照全口径预算的原则，克州供销社2020年所有收入和支出均纳入部门预算管理。收支总预算318.14万元。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收入预算包括：一般公共预算306.14万元、上级专项收入12万元。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支出预算包括：商业服务业支出318.14万元。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二、关于克州供销社2020年收入预算情况说明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克州供销社收入预算318.14万元，其中：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一般公共预算306.14万元，占96.23%，比上年增加14.39万元，主要原因是将群众工作人员生活补助费从项目经费中调到一般公共预算中；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上级专项收入12万元，占3.77%，比上年增加12万元，主要原因是将自治区专项收入调整到上级专项收入科目。</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三、关于克州供销社2020年支出预算情况说明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克州供销社2020年支出预算318.14万元，其中：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基本支出299.14万元，占94.03%，比上年增加27.35万元，主要原因是将群众工作人员生活补助费从项目经费中调到一般公共预算支出中；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项目支出19万元，占5.97%，比上年减少0.96万元，主要原因是人员减少，经费相应减少。</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四、关于克州供销社2020年财政拨款收支预算情况的总体说明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2020年财政拨款收支总预算306.14万元。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16" w:firstLineChars="200"/>
        <w:rPr>
          <w:rFonts w:hint="default" w:ascii="仿宋_GB2312" w:hAnsi="宋体" w:eastAsia="仿宋_GB2312" w:cs="宋体"/>
          <w:spacing w:val="-6"/>
          <w:kern w:val="0"/>
          <w:sz w:val="32"/>
          <w:szCs w:val="32"/>
          <w:lang w:val="en-US" w:eastAsia="zh-CN"/>
        </w:rPr>
      </w:pPr>
      <w:r>
        <w:rPr>
          <w:rFonts w:hint="eastAsia" w:ascii="仿宋_GB2312" w:hAnsi="宋体" w:eastAsia="仿宋_GB2312" w:cs="宋体"/>
          <w:spacing w:val="-6"/>
          <w:kern w:val="0"/>
          <w:sz w:val="32"/>
          <w:szCs w:val="32"/>
          <w:lang w:val="en-US" w:eastAsia="zh-CN"/>
        </w:rPr>
        <w:t>支出预算包括：一般公共服务支出306.14万元，主要用于人员工资和办公经费。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五、关于克州供销社2020年一般公共预算当年拨款情况说明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克州供销社2020年一般公共预算拨款基本支出299.14万元，比上年执行数减少21.16万元，下降7.07%。主要原因是：开除2人，工资待遇等相应减少。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商业服务业等支出</w:t>
      </w:r>
      <w:r>
        <w:rPr>
          <w:rFonts w:hint="eastAsia" w:ascii="仿宋_GB2312" w:eastAsia="仿宋_GB2312"/>
          <w:sz w:val="32"/>
          <w:szCs w:val="32"/>
        </w:rPr>
        <w:t>（216）</w:t>
      </w:r>
      <w:r>
        <w:rPr>
          <w:rFonts w:hint="eastAsia" w:ascii="仿宋_GB2312" w:hAnsi="宋体" w:eastAsia="仿宋_GB2312" w:cs="宋体"/>
          <w:kern w:val="0"/>
          <w:sz w:val="32"/>
          <w:szCs w:val="32"/>
        </w:rPr>
        <w:t>306.14万元，占100%。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商业服务业等支出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216</w:t>
      </w:r>
      <w:r>
        <w:rPr>
          <w:rFonts w:ascii="仿宋_GB2312" w:hAnsi="宋体" w:eastAsia="仿宋_GB2312" w:cs="宋体"/>
          <w:kern w:val="0"/>
          <w:sz w:val="32"/>
          <w:szCs w:val="32"/>
        </w:rPr>
        <w:t>）</w:t>
      </w:r>
      <w:r>
        <w:rPr>
          <w:rFonts w:hint="eastAsia" w:ascii="仿宋_GB2312" w:hAnsi="宋体" w:eastAsia="仿宋_GB2312" w:cs="宋体"/>
          <w:kern w:val="0"/>
          <w:sz w:val="32"/>
          <w:szCs w:val="32"/>
        </w:rPr>
        <w:t>商业流通事务</w:t>
      </w:r>
      <w:r>
        <w:rPr>
          <w:rFonts w:ascii="仿宋_GB2312" w:hAnsi="宋体" w:eastAsia="仿宋_GB2312" w:cs="宋体"/>
          <w:kern w:val="0"/>
          <w:sz w:val="32"/>
          <w:szCs w:val="32"/>
        </w:rPr>
        <w:t>（</w:t>
      </w:r>
      <w:r>
        <w:rPr>
          <w:rFonts w:hint="eastAsia" w:ascii="仿宋_GB2312" w:hAnsi="宋体" w:eastAsia="仿宋_GB2312" w:cs="宋体"/>
          <w:kern w:val="0"/>
          <w:sz w:val="32"/>
          <w:szCs w:val="32"/>
        </w:rPr>
        <w:t>02</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299.14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比上年执行数减少21.16万元，下降7.07%，主要原因是：2019年预算项目没有分开核算及开除2人，工资待遇等相应减少。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商业服务业等支出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216</w:t>
      </w:r>
      <w:r>
        <w:rPr>
          <w:rFonts w:ascii="仿宋_GB2312" w:hAnsi="宋体" w:eastAsia="仿宋_GB2312" w:cs="宋体"/>
          <w:kern w:val="0"/>
          <w:sz w:val="32"/>
          <w:szCs w:val="32"/>
        </w:rPr>
        <w:t>）</w:t>
      </w:r>
      <w:r>
        <w:rPr>
          <w:rFonts w:hint="eastAsia" w:ascii="仿宋_GB2312" w:hAnsi="宋体" w:eastAsia="仿宋_GB2312" w:cs="宋体"/>
          <w:kern w:val="0"/>
          <w:sz w:val="32"/>
          <w:szCs w:val="32"/>
        </w:rPr>
        <w:t>商业流通事务</w:t>
      </w:r>
      <w:r>
        <w:rPr>
          <w:rFonts w:ascii="仿宋_GB2312" w:hAnsi="宋体" w:eastAsia="仿宋_GB2312" w:cs="宋体"/>
          <w:kern w:val="0"/>
          <w:sz w:val="32"/>
          <w:szCs w:val="32"/>
        </w:rPr>
        <w:t>（</w:t>
      </w:r>
      <w:r>
        <w:rPr>
          <w:rFonts w:hint="eastAsia" w:ascii="仿宋_GB2312" w:hAnsi="宋体" w:eastAsia="仿宋_GB2312" w:cs="宋体"/>
          <w:kern w:val="0"/>
          <w:sz w:val="32"/>
          <w:szCs w:val="32"/>
        </w:rPr>
        <w:t>02</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其他商业流通事务支出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99</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比上年执行数减少2万元，下降10.53%，主要原因是：2018年项目结转2万元。</w:t>
      </w:r>
    </w:p>
    <w:p>
      <w:pPr>
        <w:spacing w:line="560" w:lineRule="exact"/>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 xml:space="preserve"> </w:t>
      </w:r>
      <w:bookmarkStart w:id="0" w:name="_GoBack"/>
      <w:bookmarkEnd w:id="0"/>
      <w:r>
        <w:rPr>
          <w:rFonts w:hint="eastAsia" w:ascii="黑体" w:hAnsi="宋体" w:eastAsia="黑体" w:cs="宋体"/>
          <w:kern w:val="0"/>
          <w:sz w:val="32"/>
          <w:szCs w:val="32"/>
        </w:rPr>
        <w:t>六、关于克州供销社2020年一般公共预算基本支出情况说明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克州供销社2020年一般公共预算基本支出299.14万元，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289.94万元，主要包括：基本工资70.5万元、津贴补贴86万元、奖金5.87万元、机关事业单位基本养老保险缴费22.73万元、其他社会保障缴费24.43万元、住房公积金16.16万元、离休费28.48万元、退休费21.18万元、生活补助0.44万元、奖励金1.19万元、其他对个人和家庭的补助12.96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公用经费9.2万元，主要包括：办公费1.92万元、取暖费0.84万元、差旅费1.5万元、维修（护）费0.2万元、公务接待费0.2万元、工会经费0.98万元、福利费1.76万元、办公设备购置1.8万元。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七、关于克州供销社2020年项目支出情况说明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仿宋_GB2312" w:eastAsia="仿宋_GB2312" w:cs="宋体"/>
          <w:color w:val="000000"/>
          <w:kern w:val="0"/>
          <w:sz w:val="32"/>
          <w:szCs w:val="32"/>
        </w:rPr>
        <w:t>群众工作经费</w:t>
      </w:r>
    </w:p>
    <w:p>
      <w:pPr>
        <w:spacing w:line="560" w:lineRule="exact"/>
        <w:ind w:firstLine="640" w:firstLineChars="200"/>
        <w:rPr>
          <w:rFonts w:ascii="仿宋_GB2312" w:hAnsi="仿宋_GB2312" w:eastAsia="仿宋_GB2312"/>
          <w:color w:val="000000"/>
          <w:spacing w:val="-17"/>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_GB2312" w:eastAsia="仿宋_GB2312"/>
          <w:color w:val="000000"/>
          <w:spacing w:val="-17"/>
          <w:sz w:val="32"/>
          <w:szCs w:val="32"/>
        </w:rPr>
        <w:t>自治区、自治州党委政府相关政策</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7万元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克州供销社</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2020年1月1日--2020年12月31日</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仿宋_GB2312" w:eastAsia="仿宋_GB2312" w:cs="宋体"/>
          <w:color w:val="000000"/>
          <w:kern w:val="0"/>
          <w:sz w:val="32"/>
          <w:szCs w:val="32"/>
        </w:rPr>
        <w:t>为民办实事经费及第一书记工作经费</w:t>
      </w:r>
    </w:p>
    <w:p>
      <w:pPr>
        <w:spacing w:line="560" w:lineRule="exact"/>
        <w:ind w:firstLine="640" w:firstLineChars="200"/>
        <w:rPr>
          <w:rFonts w:ascii="仿宋_GB2312" w:hAnsi="仿宋_GB2312" w:eastAsia="仿宋_GB2312"/>
          <w:color w:val="000000"/>
          <w:spacing w:val="-17"/>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_GB2312" w:eastAsia="仿宋_GB2312"/>
          <w:color w:val="000000"/>
          <w:spacing w:val="-17"/>
          <w:sz w:val="32"/>
          <w:szCs w:val="32"/>
        </w:rPr>
        <w:t>自治区、自治州党委政府相关政策</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12万元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克州供销社</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2020年1月1日--2020年12月31日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八、关于克州供销社2020年一般公共预算“三公”经费预算情况说明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克州供销社2020年“三公”经费财政拨款预算数为    0.2万元，其中：因公出国（境）费0万元，公务用车购置0万元，公务用车运行费0万元，公务接待费0.2万元。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   0万元，其中：因公出国（境）费增加（减少）0万元，主要原因是未安排预算；公务用车购置费为0，未安排预算。公务用车运行费增加（减少）0万元，主要原因是单位无车辆；公务接待费增加（减少）0万元，主要原因是与上年持平，严格执行中央八项规定，控制公务接待。</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九、关于克州供销社2020年政府性基金预算拨款情况说明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克州供销社2020年没有使用政府性基金预算拨款安排的支出，政府性基金预算支出情况表为空表。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2020年，克州供销社本级及下属0家行政单位和0家事业单位的机关运行经费财政拨款预算9.2万元，比上年预算增加0.17万元，增长1.85%。主要原因是工资基数较上年增长，福利费、工会费也相应略有增长。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2020年，克州供销社及下属单位政府采购预算3.3万元，其中：政府采购货物预算3.3万元，政府采购工程预算0万元，政府采购服务预算0万元。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截至2019年底，克州供销社及下属各预算单位占用使用国有资产总体情况为：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2020年度，本年度实行绩效管理的项目2个，涉及预算金额19万元。具体情况见下表：</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autofit"/>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571"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80"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克州供销社</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开展群众工作购买办公用品和生活用品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=7万元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2020.01.01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2020.12.31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开展群众工作购买生活用品和办公用品（批次）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≥10批次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满足群众工作要求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提高村委会基层组织工作能力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开展群众工作人员满意度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克州供销社</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为民办实事经费及第一书记工作经费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cs="Arial"/>
                <w:sz w:val="18"/>
                <w:szCs w:val="18"/>
              </w:rPr>
              <w:t>购买办公用品费用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cs="Arial"/>
                <w:sz w:val="18"/>
                <w:szCs w:val="18"/>
              </w:rPr>
              <w:t>≥2万元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cs="Arial"/>
                <w:sz w:val="18"/>
                <w:szCs w:val="18"/>
              </w:rPr>
              <w:t>开展群众活动费用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cs="Arial"/>
                <w:sz w:val="18"/>
                <w:szCs w:val="18"/>
              </w:rPr>
              <w:t>≥3万元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cs="Arial"/>
                <w:sz w:val="18"/>
                <w:szCs w:val="18"/>
              </w:rPr>
              <w:t>为群众办实事好事费用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cs="Arial"/>
                <w:sz w:val="18"/>
                <w:szCs w:val="18"/>
              </w:rPr>
              <w:t>≥6万元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2020.01.01　</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2020.12.31　</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为群众办实事好事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≥10件</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购买办公用品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≥10次　</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开展群众活动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≥12次</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cs="Arial"/>
                <w:sz w:val="18"/>
                <w:szCs w:val="18"/>
              </w:rPr>
              <w:t>购买办公用品合格率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ascii="宋体" w:hAnsi="宋体" w:cs="Arial"/>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cs="Arial"/>
                <w:sz w:val="18"/>
                <w:szCs w:val="18"/>
              </w:rPr>
              <w:t>群众活动参与率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ascii="宋体" w:hAnsi="宋体" w:cs="Arial"/>
                <w:sz w:val="18"/>
                <w:szCs w:val="18"/>
              </w:rPr>
              <w:t>≥90%</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cs="Arial"/>
                <w:sz w:val="18"/>
                <w:szCs w:val="18"/>
              </w:rPr>
              <w:t>为群众办实事好事完成率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Arial"/>
                <w:sz w:val="18"/>
                <w:szCs w:val="18"/>
              </w:rPr>
            </w:pPr>
            <w:r>
              <w:rPr>
                <w:rFonts w:hint="eastAsia" w:ascii="宋体" w:hAnsi="宋体" w:cs="Arial"/>
                <w:sz w:val="18"/>
                <w:szCs w:val="18"/>
              </w:rPr>
              <w:t>≥90%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firstLine="5600" w:firstLineChars="17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克州供销社</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21</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CD5"/>
    <w:rsid w:val="00012D28"/>
    <w:rsid w:val="000179E5"/>
    <w:rsid w:val="00032AE8"/>
    <w:rsid w:val="000343F0"/>
    <w:rsid w:val="000B4375"/>
    <w:rsid w:val="000D4CD1"/>
    <w:rsid w:val="000D56B0"/>
    <w:rsid w:val="000F65AD"/>
    <w:rsid w:val="00101D1B"/>
    <w:rsid w:val="001054FC"/>
    <w:rsid w:val="00106382"/>
    <w:rsid w:val="00114DEC"/>
    <w:rsid w:val="00165D1F"/>
    <w:rsid w:val="001934F0"/>
    <w:rsid w:val="00193CB1"/>
    <w:rsid w:val="00195AB9"/>
    <w:rsid w:val="001A4A87"/>
    <w:rsid w:val="001C1F28"/>
    <w:rsid w:val="001C5B61"/>
    <w:rsid w:val="001D20B9"/>
    <w:rsid w:val="001E0F13"/>
    <w:rsid w:val="001E379A"/>
    <w:rsid w:val="00234648"/>
    <w:rsid w:val="002407A3"/>
    <w:rsid w:val="00251EAB"/>
    <w:rsid w:val="00252B78"/>
    <w:rsid w:val="00283C11"/>
    <w:rsid w:val="002A2E59"/>
    <w:rsid w:val="002A6E0B"/>
    <w:rsid w:val="002C6EFA"/>
    <w:rsid w:val="002E03DF"/>
    <w:rsid w:val="002E4168"/>
    <w:rsid w:val="002E41A0"/>
    <w:rsid w:val="0030349A"/>
    <w:rsid w:val="00317E72"/>
    <w:rsid w:val="00324290"/>
    <w:rsid w:val="003277D9"/>
    <w:rsid w:val="00337F18"/>
    <w:rsid w:val="00345264"/>
    <w:rsid w:val="0034623C"/>
    <w:rsid w:val="00352FD8"/>
    <w:rsid w:val="00353B1A"/>
    <w:rsid w:val="00365E83"/>
    <w:rsid w:val="003857EF"/>
    <w:rsid w:val="00387451"/>
    <w:rsid w:val="003B0926"/>
    <w:rsid w:val="003F6813"/>
    <w:rsid w:val="003F6BB0"/>
    <w:rsid w:val="003F7028"/>
    <w:rsid w:val="00422C6F"/>
    <w:rsid w:val="00432267"/>
    <w:rsid w:val="0044311C"/>
    <w:rsid w:val="00455900"/>
    <w:rsid w:val="00481CD5"/>
    <w:rsid w:val="0048491B"/>
    <w:rsid w:val="004B381F"/>
    <w:rsid w:val="00537E20"/>
    <w:rsid w:val="00545270"/>
    <w:rsid w:val="00554C25"/>
    <w:rsid w:val="00555506"/>
    <w:rsid w:val="00555E4A"/>
    <w:rsid w:val="005666CE"/>
    <w:rsid w:val="00574A3E"/>
    <w:rsid w:val="00586ECA"/>
    <w:rsid w:val="00590515"/>
    <w:rsid w:val="00594EC4"/>
    <w:rsid w:val="005A7E9B"/>
    <w:rsid w:val="005C42E0"/>
    <w:rsid w:val="005D3717"/>
    <w:rsid w:val="005F401F"/>
    <w:rsid w:val="005F5A73"/>
    <w:rsid w:val="00601914"/>
    <w:rsid w:val="0060649B"/>
    <w:rsid w:val="00626222"/>
    <w:rsid w:val="006304FD"/>
    <w:rsid w:val="0064154D"/>
    <w:rsid w:val="006B2603"/>
    <w:rsid w:val="006B4D39"/>
    <w:rsid w:val="007268B6"/>
    <w:rsid w:val="00771098"/>
    <w:rsid w:val="007A3E8D"/>
    <w:rsid w:val="007C3464"/>
    <w:rsid w:val="007D0971"/>
    <w:rsid w:val="007F0D30"/>
    <w:rsid w:val="008112BA"/>
    <w:rsid w:val="008135C7"/>
    <w:rsid w:val="008150D3"/>
    <w:rsid w:val="008160EE"/>
    <w:rsid w:val="00816312"/>
    <w:rsid w:val="008B149B"/>
    <w:rsid w:val="008C7419"/>
    <w:rsid w:val="008D3B6F"/>
    <w:rsid w:val="009170E9"/>
    <w:rsid w:val="00922F20"/>
    <w:rsid w:val="0093155E"/>
    <w:rsid w:val="00943399"/>
    <w:rsid w:val="00943C58"/>
    <w:rsid w:val="00965BFC"/>
    <w:rsid w:val="00983E8D"/>
    <w:rsid w:val="00991DF8"/>
    <w:rsid w:val="009933CD"/>
    <w:rsid w:val="009A6E18"/>
    <w:rsid w:val="009B1DB7"/>
    <w:rsid w:val="009B2F02"/>
    <w:rsid w:val="009D0AA2"/>
    <w:rsid w:val="009D4166"/>
    <w:rsid w:val="009D4310"/>
    <w:rsid w:val="009D7157"/>
    <w:rsid w:val="00A06F2C"/>
    <w:rsid w:val="00A10E5F"/>
    <w:rsid w:val="00A14FCF"/>
    <w:rsid w:val="00A177B0"/>
    <w:rsid w:val="00A36956"/>
    <w:rsid w:val="00A57F9A"/>
    <w:rsid w:val="00A615D2"/>
    <w:rsid w:val="00A87567"/>
    <w:rsid w:val="00AA26F3"/>
    <w:rsid w:val="00AD39EB"/>
    <w:rsid w:val="00B021DF"/>
    <w:rsid w:val="00B0309B"/>
    <w:rsid w:val="00B10496"/>
    <w:rsid w:val="00B12DBB"/>
    <w:rsid w:val="00B22D8A"/>
    <w:rsid w:val="00B57093"/>
    <w:rsid w:val="00BC739A"/>
    <w:rsid w:val="00C23138"/>
    <w:rsid w:val="00C47F9C"/>
    <w:rsid w:val="00C73555"/>
    <w:rsid w:val="00D06D6F"/>
    <w:rsid w:val="00D722C5"/>
    <w:rsid w:val="00DA3AE8"/>
    <w:rsid w:val="00DA41E7"/>
    <w:rsid w:val="00E469CA"/>
    <w:rsid w:val="00E604D8"/>
    <w:rsid w:val="00E7167C"/>
    <w:rsid w:val="00E725E2"/>
    <w:rsid w:val="00EA0EB1"/>
    <w:rsid w:val="00EA4E00"/>
    <w:rsid w:val="00EE633A"/>
    <w:rsid w:val="00EF4512"/>
    <w:rsid w:val="00EF47B6"/>
    <w:rsid w:val="00F27A76"/>
    <w:rsid w:val="00F363A8"/>
    <w:rsid w:val="00F45CAE"/>
    <w:rsid w:val="00F6074D"/>
    <w:rsid w:val="00F73A01"/>
    <w:rsid w:val="00F81A83"/>
    <w:rsid w:val="00F91F27"/>
    <w:rsid w:val="00FA4FB8"/>
    <w:rsid w:val="00FB226A"/>
    <w:rsid w:val="00FC07D5"/>
    <w:rsid w:val="168A1508"/>
    <w:rsid w:val="3493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uiPriority w:val="99"/>
    <w:rPr>
      <w:rFonts w:ascii="Times New Roman" w:hAnsi="Times New Roman" w:eastAsia="宋体" w:cs="Times New Roman"/>
      <w:sz w:val="16"/>
      <w:szCs w:val="16"/>
    </w:rPr>
  </w:style>
  <w:style w:type="character" w:customStyle="1" w:styleId="17">
    <w:name w:val="页脚 字符1"/>
    <w:uiPriority w:val="99"/>
    <w:rPr>
      <w:rFonts w:ascii="Times New Roman" w:hAnsi="Times New Roman" w:eastAsia="黑体" w:cs="Times New Roman"/>
      <w:snapToGrid w:val="0"/>
      <w:kern w:val="0"/>
      <w:sz w:val="18"/>
      <w:szCs w:val="18"/>
    </w:rPr>
  </w:style>
  <w:style w:type="character" w:customStyle="1" w:styleId="18">
    <w:name w:val="批注框文本 Char"/>
    <w:link w:val="2"/>
    <w:semiHidden/>
    <w:uiPriority w:val="0"/>
    <w:rPr>
      <w:rFonts w:ascii="Times New Roman" w:hAnsi="Times New Roman" w:eastAsia="宋体" w:cs="Times New Roman"/>
      <w:sz w:val="18"/>
      <w:szCs w:val="18"/>
    </w:rPr>
  </w:style>
  <w:style w:type="character" w:customStyle="1" w:styleId="19">
    <w:name w:val="页眉 字符1"/>
    <w:uiPriority w:val="0"/>
    <w:rPr>
      <w:rFonts w:ascii="Times New Roman" w:hAnsi="Times New Roman" w:eastAsia="宋体" w:cs="Times New Roman"/>
      <w:sz w:val="18"/>
      <w:szCs w:val="18"/>
    </w:rPr>
  </w:style>
  <w:style w:type="character" w:customStyle="1" w:styleId="20">
    <w:name w:val="正文文本缩进 3 Char"/>
    <w:link w:val="5"/>
    <w:uiPriority w:val="0"/>
    <w:rPr>
      <w:rFonts w:ascii="Times New Roman" w:hAnsi="Times New Roman" w:eastAsia="仿宋_GB2312" w:cs="Times New Roman"/>
      <w:sz w:val="32"/>
      <w:szCs w:val="24"/>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uiPriority w:val="0"/>
    <w:rPr>
      <w:rFonts w:ascii="Calibri" w:hAnsi="Calibri" w:cs="黑体"/>
      <w:sz w:val="24"/>
    </w:rPr>
  </w:style>
  <w:style w:type="paragraph" w:customStyle="1" w:styleId="23">
    <w:name w:val="普通(网站)2"/>
    <w:basedOn w:val="1"/>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1504</Words>
  <Characters>8573</Characters>
  <Lines>71</Lines>
  <Paragraphs>20</Paragraphs>
  <TotalTime>140</TotalTime>
  <ScaleCrop>false</ScaleCrop>
  <LinksUpToDate>false</LinksUpToDate>
  <CharactersWithSpaces>10057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lenovo</cp:lastModifiedBy>
  <cp:lastPrinted>2020-01-09T10:17:00Z</cp:lastPrinted>
  <dcterms:modified xsi:type="dcterms:W3CDTF">2020-01-23T02:38:27Z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