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pStyle w:val="2"/>
        <w:bidi w:val="0"/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</w:rPr>
        <w:t>克孜勒苏柯尔克孜自治州</w:t>
      </w:r>
      <w:r>
        <w:rPr>
          <w:rFonts w:hint="eastAsia"/>
          <w:sz w:val="40"/>
          <w:szCs w:val="40"/>
          <w:lang w:eastAsia="zh-CN"/>
        </w:rPr>
        <w:t>农业技术推广中心</w:t>
      </w:r>
    </w:p>
    <w:p>
      <w:pPr>
        <w:pStyle w:val="2"/>
        <w:bidi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  <w:lang w:val="en-US" w:eastAsia="zh-CN"/>
        </w:rPr>
        <w:t>2020</w:t>
      </w:r>
      <w:r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  <w:lang w:eastAsia="zh-CN"/>
        </w:rPr>
        <w:t>部门</w:t>
      </w:r>
      <w:r>
        <w:rPr>
          <w:rFonts w:hint="eastAsia"/>
          <w:sz w:val="40"/>
          <w:szCs w:val="40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hint="eastAsia" w:ascii="黑体" w:hAnsi="黑体" w:eastAsia="黑体"/>
          <w:kern w:val="0"/>
          <w:sz w:val="36"/>
          <w:szCs w:val="32"/>
          <w:lang w:val="en-US" w:eastAsia="zh-CN"/>
        </w:rPr>
        <w:t xml:space="preserve">      </w:t>
      </w:r>
      <w:r>
        <w:rPr>
          <w:rFonts w:hint="eastAsia" w:ascii="黑体" w:hAnsi="黑体" w:eastAsia="黑体"/>
          <w:kern w:val="0"/>
          <w:sz w:val="36"/>
          <w:szCs w:val="32"/>
        </w:rPr>
        <w:t xml:space="preserve">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  <w:t>克孜勒苏柯尔克孜自治州农业技术推广中心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主要职能是：编制本地区农业技术推广工作规划、计划并组织实施；负责新型农业技术推广的引进、试验、示范和推广工作，对适应本地区的农业技术进行试验示范，研究开发，形成可直接用于生产的农业新技术；负责农业技术推广新成果、新技术咨询服务，专业技术培训、宣传普及和和推荐等工作；承担农业部门和上级推广机构下达的农业技术推广任务；参与并检查、指导农业技术推广工作；承担自治区、自治州科技兴农实用技术推广项目；负责全州农业技术推广工作，并受理申报相关农民设施农业培训等科技培训任务；完成自治州人民政府和自治州农办、农业局、科技局交办的工作任务。</w:t>
      </w:r>
    </w:p>
    <w:p>
      <w:pPr>
        <w:widowControl/>
        <w:spacing w:line="560" w:lineRule="exact"/>
        <w:ind w:firstLine="640"/>
        <w:jc w:val="left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站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办公室、推广站、园艺站、化验室、土肥站、植保站、植物检疫站、农业试验站。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克孜勒苏柯尔克孜自治州农业技术推广中心单位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szCs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 </w:t>
      </w:r>
      <w:r>
        <w:rPr>
          <w:rFonts w:hint="eastAsia" w:ascii="仿宋_GB2312" w:hAnsi="宋体" w:eastAsia="仿宋_GB2312"/>
          <w:kern w:val="0"/>
          <w:sz w:val="18"/>
          <w:szCs w:val="18"/>
        </w:rPr>
        <w:t xml:space="preserve">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单位：万元</w:t>
      </w:r>
    </w:p>
    <w:tbl>
      <w:tblPr>
        <w:tblStyle w:val="11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1119.86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1119.86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1219.36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1168.86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58.3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1227.16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1227.16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备注：无内容应公开空表并说明情况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24"/>
        </w:rPr>
      </w:pPr>
    </w:p>
    <w:tbl>
      <w:tblPr>
        <w:tblStyle w:val="11"/>
        <w:tblpPr w:leftFromText="180" w:rightFromText="180" w:vertAnchor="text" w:horzAnchor="page" w:tblpX="1381" w:tblpY="608"/>
        <w:tblOverlap w:val="never"/>
        <w:tblW w:w="9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435"/>
        <w:gridCol w:w="525"/>
        <w:gridCol w:w="1103"/>
        <w:gridCol w:w="1005"/>
        <w:gridCol w:w="1035"/>
        <w:gridCol w:w="420"/>
        <w:gridCol w:w="323"/>
        <w:gridCol w:w="381"/>
        <w:gridCol w:w="434"/>
        <w:gridCol w:w="404"/>
        <w:gridCol w:w="603"/>
        <w:gridCol w:w="490"/>
        <w:gridCol w:w="590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3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事业运行（农业）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1098.56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1098.06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213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其他农业农村支出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114.8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51.8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农业资源保护修复与利用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防灾救灾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205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学前教育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65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1227.16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1119.86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58.3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单位：万元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备注：无内容应公开空表并说明情况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11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00"/>
        <w:gridCol w:w="400"/>
        <w:gridCol w:w="2568"/>
        <w:gridCol w:w="1840"/>
        <w:gridCol w:w="1841"/>
        <w:gridCol w:w="1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其他农业农村支出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114.8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114.8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  <w:t>事业运行（农业）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1098.56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1098.56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35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农业资源保护修复与利用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213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防灾救灾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205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eastAsia="zh-CN"/>
              </w:rPr>
              <w:t>学前教育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7.8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7.8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1127.16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1106.36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120.8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单位：万元</w:t>
      </w:r>
    </w:p>
    <w:tbl>
      <w:tblPr>
        <w:tblStyle w:val="11"/>
        <w:tblW w:w="919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198"/>
        <w:gridCol w:w="2511"/>
        <w:gridCol w:w="1380"/>
        <w:gridCol w:w="1241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1119.86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1119.86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1112.06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1112.06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</w:trPr>
        <w:tc>
          <w:tcPr>
            <w:tcW w:w="1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入  总  计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1119.86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1119.86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1119.86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事业运行（农业）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1098.06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1119.86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1"/>
        <w:tblW w:w="9264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66"/>
        <w:gridCol w:w="2845"/>
        <w:gridCol w:w="1674"/>
        <w:gridCol w:w="946"/>
        <w:gridCol w:w="714"/>
        <w:gridCol w:w="16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克孜勒苏柯尔克孜自治州农业技术推广中心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0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383.63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383.63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66.12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66.12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2.66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7.89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64.62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310.00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2.91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25.83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25.83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2.28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101.08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101.08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46.01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46.01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72.70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1,105.86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1,075.56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30.30 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1"/>
        <w:tblW w:w="9871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506"/>
        <w:gridCol w:w="416"/>
        <w:gridCol w:w="456"/>
        <w:gridCol w:w="851"/>
        <w:gridCol w:w="1456"/>
        <w:gridCol w:w="750"/>
        <w:gridCol w:w="569"/>
        <w:gridCol w:w="741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375" w:hRule="atLeast"/>
        </w:trPr>
        <w:tc>
          <w:tcPr>
            <w:tcW w:w="98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" w:type="dxa"/>
          <w:wAfter w:w="8" w:type="dxa"/>
          <w:trHeight w:val="405" w:hRule="atLeast"/>
        </w:trPr>
        <w:tc>
          <w:tcPr>
            <w:tcW w:w="74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克孜勒苏柯尔克孜自治州农业技术推广中心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8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1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1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农业资源保护修复与利用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耕地质量保护与提升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防灾救灾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农作物病虫害防治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援疆资金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66.80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群众工作经费1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群众工作经费2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群众工作经费3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120.8</w:t>
            </w:r>
          </w:p>
        </w:tc>
        <w:tc>
          <w:tcPr>
            <w:tcW w:w="56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120.8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单位：万元</w:t>
      </w:r>
    </w:p>
    <w:tbl>
      <w:tblPr>
        <w:tblStyle w:val="11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4.47 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ind w:firstLine="240" w:firstLineChars="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单位：万元</w:t>
      </w:r>
    </w:p>
    <w:tbl>
      <w:tblPr>
        <w:tblStyle w:val="11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60" w:lineRule="exact"/>
        <w:ind w:firstLine="56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 xml:space="preserve"> 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收入预算包括：一般公共预算1119.86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 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15.00万元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58.30万元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1219.36万元。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一般公共预算1119.86万元，占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91.26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：单位职工两人去世、退休人员一名去世引起一般公共预算减少。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：援疆项目延续资金于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2020年到位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上级专项收入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2020年预算安排的上级专项收入资金主要用于开展群众工作经费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32.43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：援疆项目柔性引才、盐碱地改良、农业技术推广等项目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全部实施完毕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1227.16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1106.36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：在职人员普调工资、调整高定工资、增加了群众工作人员生活补助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9.84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42.6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1、2019年预算中包括2018年项目结转，且2019年项目全部执行完毕；2、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群众人员生活补助调整到基本支出中引起项目支出减少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1119.86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农林水支出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1112.06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基本支出和项目支出，其中：基本支出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1098.06万元，主要用于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工资福利支出、商品和服务支出、对个人和家庭的补助、资本性支出等方面的支出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eastAsia="zh-CN"/>
        </w:rPr>
        <w:t>；项目支出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14万元，主要用于开展群众工作经费。2、教育支出7.8万元，主要用于支教人员生活补助。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1105.86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283.47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2018年绩效和综合治理奖励金、2019年绩效奖励金于2019年发放；在职职工两人去世、退休人员一人去世引起工资减少，养老保险计提比例由20%降低到16%，综上原因导致一般共公预算支出减幅较大。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项目支出14万元，比上年执行数减少116.99万元，下降89.31%,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减少的主要原因：群众工作经费、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防灾救灾、耕地质量保护、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克州设施农业高产高效培训技术示范推广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等项目于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2019年全部实施完成。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  <w:lang w:eastAsia="zh-CN"/>
        </w:rPr>
        <w:t>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1112.06万元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99.30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（205）7.8万元，占0.7%。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1.一般公共预算</w:t>
      </w:r>
      <w:r>
        <w:rPr>
          <w:rFonts w:hint="eastAsia" w:ascii="仿宋_GB2312" w:eastAsia="仿宋_GB2312"/>
          <w:sz w:val="32"/>
          <w:szCs w:val="32"/>
          <w:lang w:eastAsia="zh-CN"/>
        </w:rPr>
        <w:t>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农业农村（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01）事业运行（04）：2020年预算数为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1098.06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173.18万元，下降13.62%，主要原因是：上年执行数中包含2019年、2020年绩效考核工资和综合治理工资，在职职工两人去世、退休人员一人去世引起工资减少，养老保险计提比例由20%降低到16%，综上原因导致2020年一般公共预算支出减幅较大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eastAsia="仿宋_GB2312"/>
          <w:sz w:val="32"/>
          <w:szCs w:val="32"/>
          <w:lang w:eastAsia="zh-CN"/>
        </w:rPr>
        <w:t>农林水支出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农业农村（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01）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其他农业农村支出(99)：2020年预算数为14万元，比上年执行数减少34万元，下降70.83%，主要原因是：2020年预算中只有14万元群众工作经费，2019年执行数中包含14万元群众工作经费和34万元群众工作经费。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（205）普通教育（02）学前教育（01）：2020年预算数为7.8万元，比上年执行数减少1.82万元，下降18.92%，主要原因是：支教人员减少2名。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1105.86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1075.56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310.00万元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383.63万元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25.83万元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101.08万元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64.62万元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72.70万元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、生活补助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2.66万元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、其他对个人和家庭的补助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66.12万元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2.28万元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用品及采购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8.32万元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、专用设备购置等。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：耕地质量保护与提升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关于拨付2019年中央部分转移支付资金的通知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项目实施经费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、项目管理经费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：农作物病虫害防治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关于拨付2019年中央部分转移支付资金的通知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农作物病虫害统防统治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3万元、检疫监测1万元。</w:t>
      </w: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盐碱地品种选育、现代农业体系建设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江苏援疆资金下达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66.8万元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盐碱地品种选育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59万元、现代农业体系建设6.3万元、阿湖农场提升改造1万元、项目运行管理费0.5万元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2020年-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根据自治州党委，自治州人民政府统一安排。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2万元、为民办好事经费15.5万元、慰问困难群众3万元、开展活动费用7.5万元、村级基础设施建设维修2万元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根据自治州党委，自治州人民政府统一安排。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办公设备、办公用品购置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2万元、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基础设施建设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群众工作经费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3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根据自治州党委，自治州人民政府统一安排。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14万元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克孜勒苏柯尔克孜自治州农业技术推广中心</w:t>
      </w:r>
    </w:p>
    <w:p>
      <w:pPr>
        <w:spacing w:line="560" w:lineRule="exact"/>
        <w:ind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开展各类群众活动费用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8万元、慰问品购买4万元、群众工作运行管理费2万元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单位无因公出国（境）事宜，未安排预算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未购安预算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单位严格执行中央“八项”规定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单位严格执行中央“八项”规定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克州克孜勒苏柯尔克孜自治州农业技术推广中心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单位在职职工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2人去世引起相关经费的减少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135.56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108.85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120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120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克孜勒苏柯尔克孜自治州农业技术推广中心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3360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129.51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60.00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125.09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 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120.80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</w:t>
      </w:r>
    </w:p>
    <w:tbl>
      <w:tblPr>
        <w:tblStyle w:val="11"/>
        <w:tblpPr w:leftFromText="180" w:rightFromText="180" w:vertAnchor="text" w:horzAnchor="page" w:tblpX="1911" w:tblpY="-21"/>
        <w:tblOverlap w:val="never"/>
        <w:tblW w:w="13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1783"/>
        <w:gridCol w:w="2077"/>
        <w:gridCol w:w="1737"/>
        <w:gridCol w:w="1848"/>
        <w:gridCol w:w="238"/>
        <w:gridCol w:w="1087"/>
        <w:gridCol w:w="2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耕地质量保护与提升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313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采集土样30个，采集植株样30个，采集籽粒样30个，土样样品化验300项次。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项目实施经费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项目管费理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项目实施期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≥1月&amp;&amp;≤12月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开展肥料利用率试验（个）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采集土样（个）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采集植株样（个）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采集籽粒样（个）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提高技术人员技术水平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提高农民种粮积极性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提高农民科学种田意识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10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8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试验区农民满意度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626" w:tblpY="61"/>
        <w:tblOverlap w:val="never"/>
        <w:tblW w:w="13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农作物病虫害防治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开展农作物病虫害测报工作，加强农作物病虫疫情防控工作，确保重大病虫不大面积暴发成灾，提高绿色防控、统防统治覆盖率，确保农药使用量负增长。通过开展重大植物疫情的监测阻截和防控，控制马铃薯甲虫、小麦重大病害等重大植物疫情分布范围，确保重大植物疫情不恶性扩散蔓延，实现重大病虫疫情的可持续治理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年度农作物病虫害防治资金执行率（%）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绿色防控与统防统治融合示范区（亩）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≥300亩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重大植物疫情监测点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小麦、玉米等重大病虫害周报完成率（%）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重大疫情月报完成率(%)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绿色防控覆盖率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纺防统治覆盖率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农民满意度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tbl>
      <w:tblPr>
        <w:tblStyle w:val="11"/>
        <w:tblpPr w:leftFromText="180" w:rightFromText="180" w:vertAnchor="text" w:horzAnchor="page" w:tblpX="1506" w:tblpY="35"/>
        <w:tblOverlap w:val="never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857"/>
        <w:gridCol w:w="1664"/>
        <w:gridCol w:w="501"/>
        <w:gridCol w:w="1163"/>
        <w:gridCol w:w="323"/>
        <w:gridCol w:w="323"/>
        <w:gridCol w:w="1925"/>
        <w:gridCol w:w="249"/>
        <w:gridCol w:w="1132"/>
        <w:gridCol w:w="2144"/>
        <w:gridCol w:w="249"/>
        <w:gridCol w:w="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援疆资金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66.8</w:t>
            </w: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66.8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84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盐碱地耐盐品种选育（万元）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现代农业体系建设（万元）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盐碱地耐盐品种选育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2020年1月-2021年12月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现代农业体系建设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2020年1月-2020年12月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试验示范面积（亩）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试验示范点（个）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培训技术干部参与率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筛选出适宜克州种植耐盐品种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筛选出适宜克州种植耐盐品种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9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试验地农民满意度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tbl>
      <w:tblPr>
        <w:tblStyle w:val="11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92"/>
        <w:gridCol w:w="1664"/>
        <w:gridCol w:w="170"/>
        <w:gridCol w:w="1876"/>
        <w:gridCol w:w="261"/>
        <w:gridCol w:w="1453"/>
        <w:gridCol w:w="334"/>
        <w:gridCol w:w="1487"/>
        <w:gridCol w:w="235"/>
        <w:gridCol w:w="179"/>
        <w:gridCol w:w="246"/>
        <w:gridCol w:w="646"/>
        <w:gridCol w:w="471"/>
        <w:gridCol w:w="2031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7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21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633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按照相关要求，工作队本着为民办实事，为群众送信息、送服务、送温暖；支持村级小型种养殖、农产品加工等产业发展，开展就业技能培训；更新村级“两委”办公设施，党内激励关怀帮扶，积极组织开展各类活动，丰富群众业余生活，发展特色产业水晶瓜，努力打造“一村一品”；发挥专业部门优势开展技术培训指，抓好新农村建设，强化村规民约，从村容村貌入手，建桥、修护栏，大力整治环境卫生。表彰优秀个人和集体等。全力协助村两委做好各项村务，全力做好“访惠聚”工作。切实落实好脱贫攻坚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培训经费（万元）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为民办好事经费（万元）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≤15.5万元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慰问困难群众（万元）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开展活动费用（万元）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≥7.5万元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项目实施年度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≥1月&amp;&amp;≤12月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解决困难群众困难诉求（次）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≥18次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为民办实事好事（次）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开展文体活动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技能培训（人）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≥500人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慰问困难群众（人）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走访群众（户）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≥1100户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走访群众覆盖率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增强农民的幸福感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明显提升农民的幸福感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7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16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3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0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当地群众满意度</w:t>
            </w:r>
          </w:p>
        </w:tc>
        <w:tc>
          <w:tcPr>
            <w:tcW w:w="37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23" w:hRule="atLeast"/>
        </w:trPr>
        <w:tc>
          <w:tcPr>
            <w:tcW w:w="132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5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8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716" w:hRule="atLeast"/>
        </w:trPr>
        <w:tc>
          <w:tcPr>
            <w:tcW w:w="2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640" w:hRule="atLeast"/>
        </w:trPr>
        <w:tc>
          <w:tcPr>
            <w:tcW w:w="2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145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严格按照上级要求，协调各方，保障村里的各项工作顺利开展。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75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办公设备、办公用品购置（万元）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59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基础设施建设（万元）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项目实施年度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≥1月&amp;&amp;≤12月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办民办实事（件）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安排技术培训（次）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走访贫困覆盖率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7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完成村党建工作、基层工作，村两委满意度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03" w:hRule="atLeast"/>
        </w:trPr>
        <w:tc>
          <w:tcPr>
            <w:tcW w:w="20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0" w:type="dxa"/>
          <w:trHeight w:val="532" w:hRule="atLeast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81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当地村民满意度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</w:tbl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 w:start="13"/>
          <w:cols w:space="0" w:num="1"/>
          <w:rtlGutter w:val="0"/>
          <w:docGrid w:type="lines" w:linePitch="319" w:charSpace="0"/>
        </w:sectPr>
      </w:pPr>
    </w:p>
    <w:tbl>
      <w:tblPr>
        <w:tblStyle w:val="11"/>
        <w:tblpPr w:leftFromText="180" w:rightFromText="180" w:vertAnchor="text" w:horzAnchor="page" w:tblpX="1971" w:tblpY="117"/>
        <w:tblOverlap w:val="never"/>
        <w:tblW w:w="139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2164"/>
        <w:gridCol w:w="1810"/>
        <w:gridCol w:w="1925"/>
        <w:gridCol w:w="249"/>
        <w:gridCol w:w="1132"/>
        <w:gridCol w:w="2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克孜勒苏柯尔克孜自治州农业技术推广中心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群众工作经费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积极开展群众工作，深入基层，帮助群众解决实际困难，宣传国家相关政策及法律法规，维护社会稳定和长治久安、给群众办实事好事。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开展各类群众活动费用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慰问品购买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群众工作运行管理费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项目实施期限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≥1月&amp;&amp;≤12月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送温暖、送服务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慰问困难群众、四老人员等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≥60户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开展各类联谊活动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≥6场次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群众参加活动参与率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通过开展走访慰问、群众联谊，筑牢群众工作基础，助推脱贫攻坚和社会稳定长治久安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通过开展走访慰问、群众联谊，筑牢群众工作基础，助推脱贫攻坚和社会稳定长治久安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增强当地群众幸福感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明显增强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当地困难群众满意率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pgNumType w:fmt="numberInDash" w:start="22"/>
          <w:cols w:space="0" w:num="1"/>
          <w:rtlGutter w:val="0"/>
          <w:docGrid w:type="lines" w:linePitch="319" w:charSpace="0"/>
        </w:sectPr>
      </w:pPr>
    </w:p>
    <w:p>
      <w:pPr>
        <w:widowControl/>
        <w:numPr>
          <w:ilvl w:val="0"/>
          <w:numId w:val="0"/>
        </w:numPr>
        <w:spacing w:line="520" w:lineRule="exact"/>
        <w:ind w:firstLine="643" w:firstLineChars="200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eastAsia="zh-CN"/>
        </w:rPr>
        <w:t>（五）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其他需说明的事项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jc w:val="left"/>
        <w:rPr>
          <w:rFonts w:hint="eastAsia" w:ascii="楷体_GB2312" w:hAnsi="宋体" w:eastAsia="楷体_GB2312" w:cs="宋体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 w:cs="宋体"/>
          <w:b w:val="0"/>
          <w:bCs/>
          <w:kern w:val="0"/>
          <w:sz w:val="32"/>
          <w:szCs w:val="32"/>
          <w:lang w:eastAsia="zh-CN"/>
        </w:rPr>
        <w:t>无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4160" w:firstLineChars="13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克孜勒苏柯尔克孜自治州</w:t>
      </w:r>
    </w:p>
    <w:p>
      <w:pPr>
        <w:widowControl/>
        <w:spacing w:line="520" w:lineRule="exact"/>
        <w:ind w:firstLine="4480" w:firstLineChars="14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农业技术推广中心</w:t>
      </w:r>
    </w:p>
    <w:p>
      <w:pPr>
        <w:widowControl/>
        <w:spacing w:line="520" w:lineRule="exact"/>
        <w:jc w:val="left"/>
        <w:rPr>
          <w:rFonts w:hint="eastAsia" w:eastAsia="仿宋_GB2312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numberInDash" w:start="22"/>
          <w:cols w:space="0" w:num="1"/>
          <w:rtlGutter w:val="0"/>
          <w:docGrid w:type="lines" w:linePitch="319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20日</w:t>
      </w:r>
    </w:p>
    <w:p>
      <w:pPr>
        <w:bidi w:val="0"/>
        <w:outlineLvl w:val="9"/>
      </w:pPr>
    </w:p>
    <w:sectPr>
      <w:pgSz w:w="11906" w:h="16838"/>
      <w:pgMar w:top="1440" w:right="1803" w:bottom="1440" w:left="1803" w:header="851" w:footer="992" w:gutter="0"/>
      <w:pgNumType w:fmt="numberInDash" w:start="2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33B91"/>
    <w:rsid w:val="00E469CA"/>
    <w:rsid w:val="00E7167C"/>
    <w:rsid w:val="01B34F46"/>
    <w:rsid w:val="04E14464"/>
    <w:rsid w:val="072D7D24"/>
    <w:rsid w:val="09473070"/>
    <w:rsid w:val="0A820E96"/>
    <w:rsid w:val="0AE57C85"/>
    <w:rsid w:val="0B2000DE"/>
    <w:rsid w:val="0CD44D12"/>
    <w:rsid w:val="0F55324B"/>
    <w:rsid w:val="11E141B5"/>
    <w:rsid w:val="141F248B"/>
    <w:rsid w:val="182F524D"/>
    <w:rsid w:val="1CAC628A"/>
    <w:rsid w:val="1F0C6ACF"/>
    <w:rsid w:val="227D3DE7"/>
    <w:rsid w:val="24C00D44"/>
    <w:rsid w:val="25920C0B"/>
    <w:rsid w:val="27C94409"/>
    <w:rsid w:val="29137B5D"/>
    <w:rsid w:val="2D30765A"/>
    <w:rsid w:val="302958E1"/>
    <w:rsid w:val="31F1386C"/>
    <w:rsid w:val="34C4053B"/>
    <w:rsid w:val="35902502"/>
    <w:rsid w:val="35DF6107"/>
    <w:rsid w:val="36226E86"/>
    <w:rsid w:val="38617046"/>
    <w:rsid w:val="38DF25A0"/>
    <w:rsid w:val="3C8F32CF"/>
    <w:rsid w:val="3CB054C7"/>
    <w:rsid w:val="3EE729F1"/>
    <w:rsid w:val="3F02557D"/>
    <w:rsid w:val="439C3C11"/>
    <w:rsid w:val="46907C1C"/>
    <w:rsid w:val="483329F1"/>
    <w:rsid w:val="4AEA6FEF"/>
    <w:rsid w:val="4D802CE0"/>
    <w:rsid w:val="501F7CE4"/>
    <w:rsid w:val="50E34167"/>
    <w:rsid w:val="527D4BAE"/>
    <w:rsid w:val="58063879"/>
    <w:rsid w:val="58A03893"/>
    <w:rsid w:val="5CE21802"/>
    <w:rsid w:val="5D381698"/>
    <w:rsid w:val="5DD96BE7"/>
    <w:rsid w:val="5E76493E"/>
    <w:rsid w:val="5FDF3B5A"/>
    <w:rsid w:val="60AE5C5D"/>
    <w:rsid w:val="60CF6C7E"/>
    <w:rsid w:val="60DE46E9"/>
    <w:rsid w:val="62420490"/>
    <w:rsid w:val="628A1111"/>
    <w:rsid w:val="65192B0C"/>
    <w:rsid w:val="6A990C26"/>
    <w:rsid w:val="6BED3C1C"/>
    <w:rsid w:val="6FC56F30"/>
    <w:rsid w:val="73EF0D44"/>
    <w:rsid w:val="782F7045"/>
    <w:rsid w:val="784A652A"/>
    <w:rsid w:val="78C51840"/>
    <w:rsid w:val="7AE93D6F"/>
    <w:rsid w:val="7C190053"/>
    <w:rsid w:val="7CF665C8"/>
    <w:rsid w:val="7E3A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semiHidden/>
    <w:qFormat/>
    <w:uiPriority w:val="0"/>
    <w:rPr>
      <w:sz w:val="18"/>
      <w:szCs w:val="18"/>
      <w:lang w:val="zh-CN" w:eastAsia="zh-CN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24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rFonts w:cs="Times New Roman"/>
      <w:b/>
      <w:bCs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paragraph" w:customStyle="1" w:styleId="18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9">
    <w:name w:val="批注框文本 字符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3 字符"/>
    <w:basedOn w:val="13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1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22">
    <w:name w:val="批注框文本 字符1"/>
    <w:link w:val="6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3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4">
    <w:name w:val="正文文本缩进 3 字符1"/>
    <w:link w:val="9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7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8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0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中轴线</cp:lastModifiedBy>
  <cp:lastPrinted>2020-11-26T11:16:00Z</cp:lastPrinted>
  <dcterms:modified xsi:type="dcterms:W3CDTF">2020-11-28T03:41:55Z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