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国土资源规划勘测院</w:t>
      </w: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克州国土资源规划勘测院</w:t>
      </w:r>
      <w:r>
        <w:rPr>
          <w:rFonts w:hint="eastAsia" w:ascii="仿宋_GB2312" w:hAnsi="宋体" w:eastAsia="仿宋_GB2312"/>
          <w:b/>
          <w:kern w:val="0"/>
          <w:sz w:val="32"/>
          <w:szCs w:val="32"/>
        </w:rPr>
        <w:t>部门单位概况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00" w:firstLineChars="200"/>
        <w:outlineLvl w:val="1"/>
        <w:rPr>
          <w:rFonts w:hint="eastAsia" w:ascii="仿宋_GB2312" w:hAnsi="宋体" w:eastAsia="仿宋_GB2312"/>
          <w:w w:val="80"/>
          <w:kern w:val="0"/>
          <w:sz w:val="30"/>
          <w:szCs w:val="30"/>
          <w:lang w:eastAsia="zh-CN"/>
        </w:rPr>
      </w:pPr>
      <w:r>
        <w:rPr>
          <w:rFonts w:hint="eastAsia" w:ascii="仿宋_GB2312" w:hAnsi="宋体" w:eastAsia="仿宋_GB2312"/>
          <w:kern w:val="0"/>
          <w:sz w:val="30"/>
          <w:szCs w:val="30"/>
        </w:rPr>
        <w:t>一、</w:t>
      </w:r>
      <w:r>
        <w:rPr>
          <w:rFonts w:hint="eastAsia" w:ascii="仿宋_GB2312" w:hAnsi="宋体" w:eastAsia="仿宋_GB2312"/>
          <w:w w:val="80"/>
          <w:kern w:val="0"/>
          <w:sz w:val="30"/>
          <w:szCs w:val="30"/>
          <w:lang w:eastAsia="zh-CN"/>
        </w:rPr>
        <w:t>关于克州国土资源规划勘测院</w:t>
      </w:r>
      <w:r>
        <w:rPr>
          <w:rFonts w:hint="eastAsia" w:ascii="仿宋_GB2312" w:hAnsi="宋体" w:eastAsia="仿宋_GB2312"/>
          <w:w w:val="80"/>
          <w:kern w:val="0"/>
          <w:sz w:val="30"/>
          <w:szCs w:val="30"/>
          <w:lang w:val="en-US" w:eastAsia="zh-CN"/>
        </w:rPr>
        <w:t>2020</w:t>
      </w:r>
      <w:r>
        <w:rPr>
          <w:rFonts w:hint="eastAsia" w:ascii="仿宋_GB2312" w:hAnsi="宋体" w:eastAsia="仿宋_GB2312"/>
          <w:w w:val="80"/>
          <w:kern w:val="0"/>
          <w:sz w:val="30"/>
          <w:szCs w:val="30"/>
          <w:lang w:eastAsia="zh-CN"/>
        </w:rPr>
        <w:t>年收支预算情况的总体说明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二、关于</w:t>
      </w:r>
      <w:r>
        <w:rPr>
          <w:rFonts w:hint="eastAsia" w:ascii="仿宋_GB2312" w:hAnsi="宋体" w:eastAsia="仿宋_GB2312"/>
          <w:kern w:val="0"/>
          <w:sz w:val="30"/>
          <w:szCs w:val="30"/>
          <w:lang w:eastAsia="zh-CN"/>
        </w:rPr>
        <w:t>克州国土资源规划勘测院</w:t>
      </w:r>
      <w:r>
        <w:rPr>
          <w:rFonts w:hint="eastAsia" w:ascii="仿宋_GB2312" w:hAnsi="宋体" w:eastAsia="仿宋_GB2312"/>
          <w:kern w:val="0"/>
          <w:sz w:val="30"/>
          <w:szCs w:val="30"/>
          <w:lang w:val="en-US" w:eastAsia="zh-CN"/>
        </w:rPr>
        <w:t>2020</w:t>
      </w:r>
      <w:r>
        <w:rPr>
          <w:rFonts w:hint="eastAsia" w:ascii="仿宋_GB2312" w:hAnsi="宋体" w:eastAsia="仿宋_GB2312"/>
          <w:kern w:val="0"/>
          <w:sz w:val="30"/>
          <w:szCs w:val="30"/>
        </w:rPr>
        <w:t>年收入预算情况说明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三、关于</w:t>
      </w:r>
      <w:r>
        <w:rPr>
          <w:rFonts w:hint="eastAsia" w:ascii="仿宋_GB2312" w:hAnsi="宋体" w:eastAsia="仿宋_GB2312"/>
          <w:kern w:val="0"/>
          <w:sz w:val="30"/>
          <w:szCs w:val="30"/>
          <w:lang w:eastAsia="zh-CN"/>
        </w:rPr>
        <w:t>克州国土资源规划勘测院</w:t>
      </w:r>
      <w:r>
        <w:rPr>
          <w:rFonts w:hint="eastAsia" w:ascii="仿宋_GB2312" w:hAnsi="宋体" w:eastAsia="仿宋_GB2312"/>
          <w:kern w:val="0"/>
          <w:sz w:val="30"/>
          <w:szCs w:val="30"/>
          <w:lang w:val="en-US" w:eastAsia="zh-CN"/>
        </w:rPr>
        <w:t>2020</w:t>
      </w:r>
      <w:r>
        <w:rPr>
          <w:rFonts w:hint="eastAsia" w:ascii="仿宋_GB2312" w:hAnsi="宋体" w:eastAsia="仿宋_GB2312"/>
          <w:kern w:val="0"/>
          <w:sz w:val="30"/>
          <w:szCs w:val="30"/>
        </w:rPr>
        <w:t>年支出预算情况说明</w:t>
      </w:r>
    </w:p>
    <w:p>
      <w:pPr>
        <w:widowControl/>
        <w:spacing w:line="460" w:lineRule="exact"/>
        <w:ind w:firstLine="600" w:firstLineChars="200"/>
        <w:outlineLvl w:val="1"/>
        <w:rPr>
          <w:rFonts w:ascii="仿宋_GB2312" w:hAnsi="宋体" w:eastAsia="仿宋_GB2312"/>
          <w:bCs/>
          <w:w w:val="80"/>
          <w:kern w:val="0"/>
          <w:sz w:val="30"/>
          <w:szCs w:val="30"/>
        </w:rPr>
      </w:pPr>
      <w:r>
        <w:rPr>
          <w:rFonts w:hint="eastAsia" w:ascii="仿宋_GB2312" w:hAnsi="宋体" w:eastAsia="仿宋_GB2312"/>
          <w:bCs/>
          <w:kern w:val="0"/>
          <w:sz w:val="30"/>
          <w:szCs w:val="30"/>
        </w:rPr>
        <w:t>四、</w:t>
      </w:r>
      <w:r>
        <w:rPr>
          <w:rFonts w:hint="eastAsia" w:ascii="仿宋_GB2312" w:hAnsi="宋体" w:eastAsia="仿宋_GB2312"/>
          <w:bCs/>
          <w:w w:val="80"/>
          <w:kern w:val="0"/>
          <w:sz w:val="30"/>
          <w:szCs w:val="30"/>
        </w:rPr>
        <w:t>关于</w:t>
      </w:r>
      <w:r>
        <w:rPr>
          <w:rFonts w:hint="eastAsia" w:ascii="仿宋_GB2312" w:hAnsi="宋体" w:eastAsia="仿宋_GB2312"/>
          <w:w w:val="80"/>
          <w:kern w:val="0"/>
          <w:sz w:val="30"/>
          <w:szCs w:val="30"/>
          <w:lang w:eastAsia="zh-CN"/>
        </w:rPr>
        <w:t>克州国土资源规划勘测院</w:t>
      </w:r>
      <w:r>
        <w:rPr>
          <w:rFonts w:hint="eastAsia" w:ascii="仿宋_GB2312" w:hAnsi="宋体" w:eastAsia="仿宋_GB2312"/>
          <w:w w:val="80"/>
          <w:kern w:val="0"/>
          <w:sz w:val="30"/>
          <w:szCs w:val="30"/>
          <w:lang w:val="en-US" w:eastAsia="zh-CN"/>
        </w:rPr>
        <w:t>2020</w:t>
      </w:r>
      <w:r>
        <w:rPr>
          <w:rFonts w:hint="eastAsia" w:ascii="仿宋_GB2312" w:hAnsi="宋体" w:eastAsia="仿宋_GB2312"/>
          <w:bCs/>
          <w:w w:val="80"/>
          <w:kern w:val="0"/>
          <w:sz w:val="30"/>
          <w:szCs w:val="30"/>
        </w:rPr>
        <w:t>年财政拨款收支预算情况的总体说明</w:t>
      </w:r>
    </w:p>
    <w:p>
      <w:pPr>
        <w:widowControl/>
        <w:spacing w:line="460" w:lineRule="exact"/>
        <w:ind w:firstLine="600" w:firstLineChars="200"/>
        <w:outlineLvl w:val="1"/>
        <w:rPr>
          <w:rFonts w:ascii="仿宋_GB2312" w:hAnsi="宋体" w:eastAsia="仿宋_GB2312"/>
          <w:w w:val="80"/>
          <w:kern w:val="0"/>
          <w:sz w:val="30"/>
          <w:szCs w:val="30"/>
        </w:rPr>
      </w:pPr>
      <w:r>
        <w:rPr>
          <w:rFonts w:hint="eastAsia" w:ascii="仿宋_GB2312" w:hAnsi="宋体" w:eastAsia="仿宋_GB2312"/>
          <w:kern w:val="0"/>
          <w:sz w:val="30"/>
          <w:szCs w:val="30"/>
        </w:rPr>
        <w:t>五、</w:t>
      </w:r>
      <w:r>
        <w:rPr>
          <w:rFonts w:hint="eastAsia" w:ascii="仿宋_GB2312" w:hAnsi="宋体" w:eastAsia="仿宋_GB2312"/>
          <w:w w:val="80"/>
          <w:kern w:val="0"/>
          <w:sz w:val="30"/>
          <w:szCs w:val="30"/>
        </w:rPr>
        <w:t>关于</w:t>
      </w:r>
      <w:r>
        <w:rPr>
          <w:rFonts w:hint="eastAsia" w:ascii="仿宋_GB2312" w:hAnsi="宋体" w:eastAsia="仿宋_GB2312"/>
          <w:w w:val="80"/>
          <w:kern w:val="0"/>
          <w:sz w:val="30"/>
          <w:szCs w:val="30"/>
          <w:lang w:eastAsia="zh-CN"/>
        </w:rPr>
        <w:t>克州国土资源规划勘测院</w:t>
      </w:r>
      <w:r>
        <w:rPr>
          <w:rFonts w:hint="eastAsia" w:ascii="仿宋_GB2312" w:hAnsi="宋体" w:eastAsia="仿宋_GB2312"/>
          <w:w w:val="80"/>
          <w:kern w:val="0"/>
          <w:sz w:val="30"/>
          <w:szCs w:val="30"/>
          <w:lang w:val="en-US" w:eastAsia="zh-CN"/>
        </w:rPr>
        <w:t>2020</w:t>
      </w:r>
      <w:r>
        <w:rPr>
          <w:rFonts w:hint="eastAsia" w:ascii="仿宋_GB2312" w:hAnsi="宋体" w:eastAsia="仿宋_GB2312"/>
          <w:w w:val="80"/>
          <w:kern w:val="0"/>
          <w:sz w:val="30"/>
          <w:szCs w:val="30"/>
        </w:rPr>
        <w:t>年一般公共预算当年拨款情况说明</w:t>
      </w:r>
    </w:p>
    <w:p>
      <w:pPr>
        <w:widowControl/>
        <w:spacing w:line="460" w:lineRule="exact"/>
        <w:ind w:firstLine="600" w:firstLineChars="200"/>
        <w:outlineLvl w:val="1"/>
        <w:rPr>
          <w:rFonts w:ascii="仿宋_GB2312" w:hAnsi="宋体" w:eastAsia="仿宋_GB2312"/>
          <w:w w:val="80"/>
          <w:kern w:val="0"/>
          <w:sz w:val="30"/>
          <w:szCs w:val="30"/>
        </w:rPr>
      </w:pPr>
      <w:r>
        <w:rPr>
          <w:rFonts w:hint="eastAsia" w:ascii="仿宋_GB2312" w:hAnsi="宋体" w:eastAsia="仿宋_GB2312"/>
          <w:kern w:val="0"/>
          <w:sz w:val="30"/>
          <w:szCs w:val="30"/>
        </w:rPr>
        <w:t>六、</w:t>
      </w:r>
      <w:r>
        <w:rPr>
          <w:rFonts w:hint="eastAsia" w:ascii="仿宋_GB2312" w:hAnsi="宋体" w:eastAsia="仿宋_GB2312"/>
          <w:w w:val="80"/>
          <w:kern w:val="0"/>
          <w:sz w:val="30"/>
          <w:szCs w:val="30"/>
        </w:rPr>
        <w:t>关于</w:t>
      </w:r>
      <w:r>
        <w:rPr>
          <w:rFonts w:hint="eastAsia" w:ascii="仿宋_GB2312" w:hAnsi="宋体" w:eastAsia="仿宋_GB2312"/>
          <w:w w:val="80"/>
          <w:kern w:val="0"/>
          <w:sz w:val="30"/>
          <w:szCs w:val="30"/>
          <w:lang w:eastAsia="zh-CN"/>
        </w:rPr>
        <w:t>克州国土资源规划勘测院</w:t>
      </w:r>
      <w:r>
        <w:rPr>
          <w:rFonts w:hint="eastAsia" w:ascii="仿宋_GB2312" w:hAnsi="宋体" w:eastAsia="仿宋_GB2312"/>
          <w:w w:val="80"/>
          <w:kern w:val="0"/>
          <w:sz w:val="30"/>
          <w:szCs w:val="30"/>
          <w:lang w:val="en-US" w:eastAsia="zh-CN"/>
        </w:rPr>
        <w:t>2020</w:t>
      </w:r>
      <w:r>
        <w:rPr>
          <w:rFonts w:hint="eastAsia" w:ascii="仿宋_GB2312" w:hAnsi="宋体" w:eastAsia="仿宋_GB2312"/>
          <w:w w:val="80"/>
          <w:kern w:val="0"/>
          <w:sz w:val="30"/>
          <w:szCs w:val="30"/>
        </w:rPr>
        <w:t>年一般公共预算基本支出情况说明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七、关于</w:t>
      </w:r>
      <w:r>
        <w:rPr>
          <w:rFonts w:hint="eastAsia" w:ascii="仿宋_GB2312" w:hAnsi="宋体" w:eastAsia="仿宋_GB2312"/>
          <w:kern w:val="0"/>
          <w:sz w:val="30"/>
          <w:szCs w:val="30"/>
          <w:lang w:eastAsia="zh-CN"/>
        </w:rPr>
        <w:t>克州国土资源规划勘测院</w:t>
      </w:r>
      <w:r>
        <w:rPr>
          <w:rFonts w:hint="eastAsia" w:ascii="仿宋_GB2312" w:hAnsi="宋体" w:eastAsia="仿宋_GB2312"/>
          <w:kern w:val="0"/>
          <w:sz w:val="30"/>
          <w:szCs w:val="30"/>
          <w:lang w:val="en-US" w:eastAsia="zh-CN"/>
        </w:rPr>
        <w:t>2020</w:t>
      </w:r>
      <w:r>
        <w:rPr>
          <w:rFonts w:hint="eastAsia" w:ascii="仿宋_GB2312" w:hAnsi="宋体" w:eastAsia="仿宋_GB2312"/>
          <w:kern w:val="0"/>
          <w:sz w:val="30"/>
          <w:szCs w:val="30"/>
        </w:rPr>
        <w:t>年项目支出情况说明</w:t>
      </w:r>
    </w:p>
    <w:p>
      <w:pPr>
        <w:widowControl/>
        <w:spacing w:line="460" w:lineRule="exact"/>
        <w:ind w:firstLine="600" w:firstLineChars="200"/>
        <w:outlineLvl w:val="1"/>
        <w:rPr>
          <w:rFonts w:ascii="仿宋_GB2312" w:hAnsi="宋体" w:eastAsia="仿宋_GB2312"/>
          <w:w w:val="75"/>
          <w:kern w:val="0"/>
          <w:sz w:val="30"/>
          <w:szCs w:val="30"/>
        </w:rPr>
      </w:pPr>
      <w:r>
        <w:rPr>
          <w:rFonts w:hint="eastAsia" w:ascii="仿宋_GB2312" w:hAnsi="宋体" w:eastAsia="仿宋_GB2312"/>
          <w:kern w:val="0"/>
          <w:sz w:val="30"/>
          <w:szCs w:val="30"/>
        </w:rPr>
        <w:t>八、</w:t>
      </w:r>
      <w:r>
        <w:rPr>
          <w:rFonts w:hint="eastAsia" w:ascii="仿宋_GB2312" w:hAnsi="宋体" w:eastAsia="仿宋_GB2312"/>
          <w:w w:val="75"/>
          <w:kern w:val="0"/>
          <w:sz w:val="30"/>
          <w:szCs w:val="30"/>
        </w:rPr>
        <w:t>关于</w:t>
      </w:r>
      <w:r>
        <w:rPr>
          <w:rFonts w:hint="eastAsia" w:ascii="仿宋_GB2312" w:hAnsi="宋体" w:eastAsia="仿宋_GB2312"/>
          <w:w w:val="75"/>
          <w:kern w:val="0"/>
          <w:sz w:val="30"/>
          <w:szCs w:val="30"/>
          <w:lang w:eastAsia="zh-CN"/>
        </w:rPr>
        <w:t>克州国土资源规划勘测院</w:t>
      </w:r>
      <w:r>
        <w:rPr>
          <w:rFonts w:hint="eastAsia" w:ascii="仿宋_GB2312" w:hAnsi="宋体" w:eastAsia="仿宋_GB2312"/>
          <w:w w:val="75"/>
          <w:kern w:val="0"/>
          <w:sz w:val="30"/>
          <w:szCs w:val="30"/>
          <w:lang w:val="en-US" w:eastAsia="zh-CN"/>
        </w:rPr>
        <w:t>2020</w:t>
      </w:r>
      <w:r>
        <w:rPr>
          <w:rFonts w:hint="eastAsia" w:ascii="仿宋_GB2312" w:hAnsi="宋体" w:eastAsia="仿宋_GB2312"/>
          <w:w w:val="75"/>
          <w:kern w:val="0"/>
          <w:sz w:val="30"/>
          <w:szCs w:val="30"/>
        </w:rPr>
        <w:t>年一般公共预算“三公”经费预算情况说明</w:t>
      </w:r>
    </w:p>
    <w:p>
      <w:pPr>
        <w:widowControl/>
        <w:spacing w:line="460" w:lineRule="exact"/>
        <w:ind w:firstLine="600" w:firstLineChars="200"/>
        <w:outlineLvl w:val="1"/>
        <w:rPr>
          <w:rFonts w:ascii="仿宋_GB2312" w:hAnsi="宋体" w:eastAsia="仿宋_GB2312"/>
          <w:w w:val="80"/>
          <w:kern w:val="0"/>
          <w:sz w:val="30"/>
          <w:szCs w:val="30"/>
        </w:rPr>
      </w:pPr>
      <w:r>
        <w:rPr>
          <w:rFonts w:hint="eastAsia" w:ascii="仿宋_GB2312" w:hAnsi="宋体" w:eastAsia="仿宋_GB2312"/>
          <w:kern w:val="0"/>
          <w:sz w:val="30"/>
          <w:szCs w:val="30"/>
        </w:rPr>
        <w:t>九、</w:t>
      </w:r>
      <w:r>
        <w:rPr>
          <w:rFonts w:hint="eastAsia" w:ascii="仿宋_GB2312" w:hAnsi="宋体" w:eastAsia="仿宋_GB2312"/>
          <w:w w:val="80"/>
          <w:kern w:val="0"/>
          <w:sz w:val="30"/>
          <w:szCs w:val="30"/>
        </w:rPr>
        <w:t>关于</w:t>
      </w:r>
      <w:r>
        <w:rPr>
          <w:rFonts w:hint="eastAsia" w:ascii="仿宋_GB2312" w:hAnsi="宋体" w:eastAsia="仿宋_GB2312"/>
          <w:w w:val="80"/>
          <w:kern w:val="0"/>
          <w:sz w:val="30"/>
          <w:szCs w:val="30"/>
          <w:lang w:eastAsia="zh-CN"/>
        </w:rPr>
        <w:t>克州国土资源规划勘测院</w:t>
      </w:r>
      <w:r>
        <w:rPr>
          <w:rFonts w:hint="eastAsia" w:ascii="仿宋_GB2312" w:hAnsi="宋体" w:eastAsia="仿宋_GB2312"/>
          <w:w w:val="80"/>
          <w:kern w:val="0"/>
          <w:sz w:val="30"/>
          <w:szCs w:val="30"/>
          <w:lang w:val="en-US" w:eastAsia="zh-CN"/>
        </w:rPr>
        <w:t>2020</w:t>
      </w:r>
      <w:r>
        <w:rPr>
          <w:rFonts w:hint="eastAsia" w:ascii="仿宋_GB2312" w:hAnsi="宋体" w:eastAsia="仿宋_GB2312"/>
          <w:w w:val="80"/>
          <w:kern w:val="0"/>
          <w:sz w:val="30"/>
          <w:szCs w:val="30"/>
        </w:rPr>
        <w:t>年政府性基金预算拨款情况说明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克州国土资源规划勘测院</w:t>
      </w:r>
      <w:r>
        <w:rPr>
          <w:rFonts w:hint="eastAsia" w:ascii="黑体" w:hAnsi="黑体" w:eastAsia="黑体"/>
          <w:kern w:val="0"/>
          <w:sz w:val="32"/>
          <w:szCs w:val="32"/>
        </w:rPr>
        <w:t>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负责全州范围内土地资源现状调查，成果应用、国土资源大调查和动态监测技术工作及技术服务；</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负责大地测量、工程测量、地籍和不动产测绘，地形图、城镇地籍调查数字化数据处理采集；</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负责全州范围内国家、集体单位和城镇居民用地、土地登记、宗地、建设用地、矿山采矿范围的勘界测绘工作；</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负责全州范围内建设用地、林草、公路、水利及水域用地确权定界、登记发证的测绘工作及各种报件、图件的编制工作；</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参与土地利用总体规划及国土资源专项规划的编制和城镇土地及农用地分等、定级及基准地价更新等工作；</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负责城镇地籍数据、土地利用总体规划等工作数据库的保管、更新、运用工作；</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承担克州国土系统的技术支持服务工作; </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承担全州不动产测绘工作；</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参与全州国土调查、数据库建设及年度土地利用现状更新工作；</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承办自治州人民政府和克州自然资源局安排部署的其他技术服务工作。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ind w:firstLine="640" w:firstLineChars="200"/>
        <w:rPr>
          <w:rFonts w:hint="eastAsia" w:ascii="仿宋_GB2312" w:hAnsi="仿宋" w:eastAsia="仿宋_GB2312" w:cs="仿宋"/>
          <w:color w:val="333333"/>
          <w:sz w:val="32"/>
          <w:szCs w:val="32"/>
          <w:shd w:val="clear" w:color="auto" w:fill="FFFFFF"/>
        </w:rPr>
      </w:pPr>
      <w:r>
        <w:rPr>
          <w:rFonts w:hint="eastAsia" w:ascii="仿宋_GB2312" w:hAnsi="黑体" w:eastAsia="仿宋_GB2312" w:cs="宋体"/>
          <w:bCs/>
          <w:kern w:val="0"/>
          <w:sz w:val="32"/>
          <w:szCs w:val="32"/>
          <w:lang w:eastAsia="zh-CN"/>
        </w:rPr>
        <w:t>克州国土资源规划勘测院</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5</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_GB2312" w:hAnsi="仿宋" w:eastAsia="仿宋_GB2312" w:cs="仿宋"/>
          <w:color w:val="333333"/>
          <w:sz w:val="32"/>
          <w:szCs w:val="32"/>
          <w:shd w:val="clear" w:color="auto" w:fill="FFFFFF"/>
        </w:rPr>
        <w:t>办公室、勘测室、国土空间规划室、数字化室、质检室。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35</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克州国土资源规划勘测院</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10"/>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640.25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640.25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735.25</w:t>
            </w: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640.25</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735.25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95.00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735.25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735.25</w:t>
            </w:r>
            <w:r>
              <w:rPr>
                <w:rFonts w:hint="eastAsia" w:ascii="仿宋_GB2312" w:hAnsi="宋体" w:eastAsia="仿宋_GB2312" w:cs="宋体"/>
                <w:kern w:val="0"/>
                <w:sz w:val="18"/>
                <w:szCs w:val="18"/>
              </w:rPr>
              <w:t>　</w:t>
            </w:r>
          </w:p>
        </w:tc>
      </w:tr>
    </w:tbl>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\t "_self"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克州国土资源规划勘测院</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10"/>
        <w:tblpPr w:leftFromText="180" w:rightFromText="180" w:vertAnchor="text" w:horzAnchor="page" w:tblpX="930" w:tblpY="315"/>
        <w:tblOverlap w:val="never"/>
        <w:tblW w:w="10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456"/>
        <w:gridCol w:w="576"/>
        <w:gridCol w:w="1104"/>
        <w:gridCol w:w="924"/>
        <w:gridCol w:w="840"/>
        <w:gridCol w:w="372"/>
        <w:gridCol w:w="423"/>
        <w:gridCol w:w="615"/>
        <w:gridCol w:w="510"/>
        <w:gridCol w:w="644"/>
        <w:gridCol w:w="826"/>
        <w:gridCol w:w="465"/>
        <w:gridCol w:w="854"/>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5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10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2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7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2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1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0" w:type="dxa"/>
            <w:vMerge w:val="restart"/>
            <w:tcBorders>
              <w:top w:val="single" w:color="auto" w:sz="4" w:space="0"/>
              <w:left w:val="single" w:color="auto" w:sz="4" w:space="0"/>
              <w:right w:val="single" w:color="auto" w:sz="4" w:space="0"/>
            </w:tcBorders>
            <w:vAlign w:val="top"/>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64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82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65" w:type="dxa"/>
            <w:vMerge w:val="restart"/>
            <w:tcBorders>
              <w:top w:val="single" w:color="auto" w:sz="4" w:space="0"/>
              <w:left w:val="single" w:color="auto" w:sz="4" w:space="0"/>
              <w:right w:val="single" w:color="auto" w:sz="4" w:space="0"/>
            </w:tcBorders>
            <w:vAlign w:val="top"/>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85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9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0"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10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7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0" w:type="dxa"/>
            <w:vMerge w:val="continue"/>
            <w:tcBorders>
              <w:left w:val="single" w:color="auto" w:sz="4" w:space="0"/>
              <w:bottom w:val="single" w:color="auto" w:sz="4" w:space="0"/>
              <w:right w:val="single" w:color="auto" w:sz="4" w:space="0"/>
            </w:tcBorders>
            <w:vAlign w:val="top"/>
          </w:tcPr>
          <w:p>
            <w:pPr>
              <w:jc w:val="center"/>
              <w:rPr>
                <w:rFonts w:ascii="仿宋_GB2312" w:eastAsia="仿宋_GB2312"/>
                <w:b/>
                <w:color w:val="000000"/>
                <w:sz w:val="20"/>
                <w:szCs w:val="20"/>
              </w:rPr>
            </w:pPr>
          </w:p>
        </w:tc>
        <w:tc>
          <w:tcPr>
            <w:tcW w:w="64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5" w:type="dxa"/>
            <w:vMerge w:val="continue"/>
            <w:tcBorders>
              <w:left w:val="single" w:color="auto" w:sz="4" w:space="0"/>
              <w:bottom w:val="single" w:color="auto" w:sz="4" w:space="0"/>
              <w:right w:val="single" w:color="auto" w:sz="4" w:space="0"/>
            </w:tcBorders>
            <w:vAlign w:val="top"/>
          </w:tcPr>
          <w:p>
            <w:pPr>
              <w:rPr>
                <w:rFonts w:ascii="仿宋_GB2312" w:hAnsi="宋体" w:eastAsia="仿宋_GB2312" w:cs="宋体"/>
                <w:color w:val="000000"/>
                <w:sz w:val="20"/>
                <w:szCs w:val="20"/>
              </w:rPr>
            </w:pPr>
          </w:p>
        </w:tc>
        <w:tc>
          <w:tcPr>
            <w:tcW w:w="85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220</w:t>
            </w: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04</w:t>
            </w: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eastAsia="zh-CN"/>
              </w:rPr>
              <w:t>自然资源规划及管理</w:t>
            </w: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735.25</w:t>
            </w: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640.25</w:t>
            </w: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shd w:val="clear" w:color="000000" w:fill="FFFFFF"/>
            <w:vAlign w:val="top"/>
          </w:tcPr>
          <w:p>
            <w:pPr>
              <w:jc w:val="center"/>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shd w:val="clear" w:color="000000" w:fill="FFFFFF"/>
            <w:vAlign w:val="top"/>
          </w:tcPr>
          <w:p>
            <w:pPr>
              <w:jc w:val="center"/>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735.25</w:t>
            </w: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640.25</w:t>
            </w:r>
            <w:r>
              <w:rPr>
                <w:rFonts w:hint="eastAsia" w:ascii="仿宋_GB2312" w:eastAsia="仿宋_GB2312"/>
                <w:color w:val="000000"/>
                <w:sz w:val="20"/>
                <w:szCs w:val="20"/>
              </w:rPr>
              <w:t>　</w:t>
            </w:r>
          </w:p>
        </w:tc>
        <w:tc>
          <w:tcPr>
            <w:tcW w:w="37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rPr>
              <w:t>　</w:t>
            </w:r>
            <w:r>
              <w:rPr>
                <w:rFonts w:hint="eastAsia" w:ascii="仿宋_GB2312" w:hAnsi="宋体" w:eastAsia="仿宋_GB2312" w:cs="宋体"/>
                <w:color w:val="000000"/>
                <w:sz w:val="20"/>
                <w:szCs w:val="20"/>
                <w:lang w:val="en-US" w:eastAsia="zh-CN"/>
              </w:rPr>
              <w:t>95.00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克州国土资源规划勘测院</w:t>
      </w:r>
      <w:r>
        <w:rPr>
          <w:rFonts w:hint="eastAsia" w:ascii="仿宋_GB2312" w:hAnsi="宋体" w:eastAsia="仿宋_GB2312"/>
          <w:kern w:val="0"/>
          <w:sz w:val="24"/>
        </w:rPr>
        <w:t xml:space="preserve">                         单位：万元</w:t>
      </w:r>
    </w:p>
    <w:tbl>
      <w:tblPr>
        <w:tblStyle w:val="10"/>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220</w:t>
            </w:r>
          </w:p>
        </w:tc>
        <w:tc>
          <w:tcPr>
            <w:tcW w:w="4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4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04</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自然资源规划及管理</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735.25</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390.25</w:t>
            </w: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345.00</w:t>
            </w: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735.25</w:t>
            </w:r>
          </w:p>
        </w:tc>
        <w:tc>
          <w:tcPr>
            <w:tcW w:w="185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390.25</w:t>
            </w:r>
          </w:p>
        </w:tc>
        <w:tc>
          <w:tcPr>
            <w:tcW w:w="190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345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克州国土资源规划勘测院</w:t>
      </w:r>
      <w:r>
        <w:rPr>
          <w:rFonts w:hint="eastAsia" w:ascii="仿宋_GB2312" w:hAnsi="宋体" w:eastAsia="仿宋_GB2312"/>
          <w:kern w:val="0"/>
          <w:sz w:val="28"/>
          <w:szCs w:val="28"/>
        </w:rPr>
        <w:t xml:space="preserve">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单位：万元</w:t>
      </w:r>
    </w:p>
    <w:tbl>
      <w:tblPr>
        <w:tblStyle w:val="10"/>
        <w:tblW w:w="9449"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1230"/>
        <w:gridCol w:w="2580"/>
        <w:gridCol w:w="1418"/>
        <w:gridCol w:w="1275"/>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640.25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640.25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640.25</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640.25</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640.25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640.25</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640.25</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633"/>
        <w:gridCol w:w="2294"/>
        <w:gridCol w:w="660"/>
        <w:gridCol w:w="1024"/>
        <w:gridCol w:w="216"/>
        <w:gridCol w:w="162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克州国土资源规划勘测院</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69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29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6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2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220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63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04</w:t>
            </w:r>
          </w:p>
        </w:tc>
        <w:tc>
          <w:tcPr>
            <w:tcW w:w="229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自然资源规划及管理</w:t>
            </w:r>
          </w:p>
        </w:tc>
        <w:tc>
          <w:tcPr>
            <w:tcW w:w="1684"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640.25</w:t>
            </w:r>
          </w:p>
        </w:tc>
        <w:tc>
          <w:tcPr>
            <w:tcW w:w="1842"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390.25</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640.25</w:t>
            </w:r>
          </w:p>
        </w:tc>
        <w:tc>
          <w:tcPr>
            <w:tcW w:w="1842"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390.25</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772"/>
        <w:gridCol w:w="3365"/>
        <w:gridCol w:w="521"/>
        <w:gridCol w:w="706"/>
        <w:gridCol w:w="976"/>
        <w:gridCol w:w="725"/>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699" w:type="dxa"/>
            <w:gridSpan w:val="3"/>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克州国土资源规划勘测院</w:t>
            </w:r>
          </w:p>
        </w:tc>
        <w:tc>
          <w:tcPr>
            <w:tcW w:w="521"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469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29"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6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2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7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6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2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77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3365"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合计</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390.25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385.50</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09</w:t>
            </w:r>
            <w:r>
              <w:rPr>
                <w:rFonts w:hint="eastAsia" w:ascii="宋体" w:hAnsi="宋体" w:cs="宋体"/>
                <w:color w:val="000000"/>
                <w:kern w:val="0"/>
                <w:sz w:val="20"/>
                <w:szCs w:val="20"/>
              </w:rPr>
              <w:t>　</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奖励金</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0.63</w:t>
            </w:r>
          </w:p>
        </w:tc>
        <w:tc>
          <w:tcPr>
            <w:tcW w:w="1701" w:type="dxa"/>
            <w:gridSpan w:val="2"/>
            <w:tcBorders>
              <w:top w:val="nil"/>
              <w:left w:val="nil"/>
              <w:bottom w:val="single" w:color="auto" w:sz="4" w:space="0"/>
              <w:right w:val="single" w:color="auto" w:sz="4" w:space="0"/>
            </w:tcBorders>
            <w:vAlign w:val="center"/>
          </w:tcPr>
          <w:p>
            <w:pPr>
              <w:widowControl/>
              <w:ind w:right="147" w:rightChars="70"/>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0.63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29</w:t>
            </w:r>
            <w:r>
              <w:rPr>
                <w:rFonts w:hint="eastAsia" w:ascii="宋体" w:hAnsi="宋体" w:cs="宋体"/>
                <w:color w:val="000000"/>
                <w:kern w:val="0"/>
                <w:sz w:val="20"/>
                <w:szCs w:val="20"/>
              </w:rPr>
              <w:t>　</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福利费</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奖金</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9.92</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9.92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01</w:t>
            </w:r>
            <w:r>
              <w:rPr>
                <w:rFonts w:hint="eastAsia" w:ascii="宋体" w:hAnsi="宋体" w:cs="宋体"/>
                <w:color w:val="000000"/>
                <w:kern w:val="0"/>
                <w:sz w:val="20"/>
                <w:szCs w:val="20"/>
              </w:rPr>
              <w:t>　</w:t>
            </w: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基本工资</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119.05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119.05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住房公积金</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28.29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28.29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退休费</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15.58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15.58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12</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23.45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23.45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08</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机关事业单位基本养老保险缴费</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39.06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39.06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工会经费</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1.70</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7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33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津贴补贴</w:t>
            </w:r>
          </w:p>
        </w:tc>
        <w:tc>
          <w:tcPr>
            <w:tcW w:w="1227"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149.51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149.51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22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390.25</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385.5</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4.76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1"/>
        <w:gridCol w:w="240"/>
        <w:gridCol w:w="480"/>
        <w:gridCol w:w="468"/>
        <w:gridCol w:w="1236"/>
        <w:gridCol w:w="1104"/>
        <w:gridCol w:w="539"/>
        <w:gridCol w:w="459"/>
        <w:gridCol w:w="766"/>
        <w:gridCol w:w="422"/>
        <w:gridCol w:w="652"/>
        <w:gridCol w:w="378"/>
        <w:gridCol w:w="200"/>
        <w:gridCol w:w="419"/>
        <w:gridCol w:w="578"/>
        <w:gridCol w:w="420"/>
        <w:gridCol w:w="420"/>
        <w:gridCol w:w="389"/>
        <w:gridCol w:w="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291" w:type="dxa"/>
          <w:wAfter w:w="79" w:type="dxa"/>
          <w:trHeight w:val="375" w:hRule="atLeast"/>
        </w:trPr>
        <w:tc>
          <w:tcPr>
            <w:tcW w:w="9170" w:type="dxa"/>
            <w:gridSpan w:val="1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291" w:type="dxa"/>
          <w:wAfter w:w="79" w:type="dxa"/>
          <w:trHeight w:val="405" w:hRule="atLeast"/>
        </w:trPr>
        <w:tc>
          <w:tcPr>
            <w:tcW w:w="4067" w:type="dxa"/>
            <w:gridSpan w:val="6"/>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克州国土资源规划勘测院</w:t>
            </w:r>
          </w:p>
        </w:tc>
        <w:tc>
          <w:tcPr>
            <w:tcW w:w="122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45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79"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04"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53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5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6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2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31"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8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68"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36"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104"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5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6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220</w:t>
            </w:r>
          </w:p>
        </w:tc>
        <w:tc>
          <w:tcPr>
            <w:tcW w:w="48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468"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1236"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自然资源规划及管理</w:t>
            </w:r>
          </w:p>
        </w:tc>
        <w:tc>
          <w:tcPr>
            <w:tcW w:w="1104"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商品和服务支出</w:t>
            </w:r>
          </w:p>
        </w:tc>
        <w:tc>
          <w:tcPr>
            <w:tcW w:w="539"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345</w:t>
            </w:r>
          </w:p>
        </w:tc>
        <w:tc>
          <w:tcPr>
            <w:tcW w:w="459" w:type="dxa"/>
            <w:vAlign w:val="center"/>
          </w:tcPr>
          <w:p>
            <w:pPr>
              <w:widowControl/>
              <w:jc w:val="center"/>
              <w:rPr>
                <w:rFonts w:hint="eastAsia" w:ascii="宋体" w:hAnsi="宋体" w:cs="宋体"/>
                <w:color w:val="000000"/>
                <w:kern w:val="0"/>
                <w:sz w:val="20"/>
                <w:szCs w:val="20"/>
                <w:lang w:val="en-US" w:eastAsia="zh-CN"/>
              </w:rPr>
            </w:pPr>
          </w:p>
        </w:tc>
        <w:tc>
          <w:tcPr>
            <w:tcW w:w="766"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345</w:t>
            </w:r>
          </w:p>
        </w:tc>
        <w:tc>
          <w:tcPr>
            <w:tcW w:w="422" w:type="dxa"/>
            <w:vAlign w:val="center"/>
          </w:tcPr>
          <w:p>
            <w:pPr>
              <w:widowControl/>
              <w:jc w:val="center"/>
              <w:rPr>
                <w:rFonts w:hint="eastAsia" w:ascii="宋体" w:hAnsi="宋体" w:cs="宋体"/>
                <w:color w:val="000000"/>
                <w:kern w:val="0"/>
                <w:sz w:val="20"/>
                <w:szCs w:val="20"/>
                <w:lang w:val="en-US" w:eastAsia="zh-CN"/>
              </w:rPr>
            </w:pPr>
          </w:p>
        </w:tc>
        <w:tc>
          <w:tcPr>
            <w:tcW w:w="652" w:type="dxa"/>
            <w:vAlign w:val="center"/>
          </w:tcPr>
          <w:p>
            <w:pPr>
              <w:widowControl/>
              <w:jc w:val="center"/>
              <w:rPr>
                <w:rFonts w:hint="eastAsia" w:ascii="宋体" w:hAnsi="宋体" w:cs="宋体"/>
                <w:color w:val="000000"/>
                <w:kern w:val="0"/>
                <w:sz w:val="20"/>
                <w:szCs w:val="20"/>
                <w:lang w:val="en-US" w:eastAsia="zh-CN"/>
              </w:rPr>
            </w:pPr>
          </w:p>
        </w:tc>
        <w:tc>
          <w:tcPr>
            <w:tcW w:w="578" w:type="dxa"/>
            <w:gridSpan w:val="2"/>
            <w:vAlign w:val="center"/>
          </w:tcPr>
          <w:p>
            <w:pPr>
              <w:widowControl/>
              <w:jc w:val="center"/>
              <w:rPr>
                <w:rFonts w:hint="eastAsia" w:ascii="宋体" w:hAnsi="宋体" w:cs="宋体"/>
                <w:color w:val="000000"/>
                <w:kern w:val="0"/>
                <w:sz w:val="20"/>
                <w:szCs w:val="20"/>
                <w:lang w:val="en-US" w:eastAsia="zh-CN"/>
              </w:rPr>
            </w:pPr>
          </w:p>
        </w:tc>
        <w:tc>
          <w:tcPr>
            <w:tcW w:w="419" w:type="dxa"/>
            <w:vAlign w:val="center"/>
          </w:tcPr>
          <w:p>
            <w:pPr>
              <w:widowControl/>
              <w:jc w:val="center"/>
              <w:rPr>
                <w:rFonts w:hint="eastAsia" w:ascii="宋体" w:hAnsi="宋体" w:cs="宋体"/>
                <w:color w:val="000000"/>
                <w:kern w:val="0"/>
                <w:sz w:val="20"/>
                <w:szCs w:val="20"/>
                <w:lang w:val="en-US" w:eastAsia="zh-CN"/>
              </w:rPr>
            </w:pPr>
          </w:p>
        </w:tc>
        <w:tc>
          <w:tcPr>
            <w:tcW w:w="578" w:type="dxa"/>
            <w:vAlign w:val="center"/>
          </w:tcPr>
          <w:p>
            <w:pPr>
              <w:widowControl/>
              <w:jc w:val="center"/>
              <w:rPr>
                <w:rFonts w:hint="eastAsia" w:ascii="宋体" w:hAnsi="宋体" w:cs="宋体"/>
                <w:color w:val="000000"/>
                <w:kern w:val="0"/>
                <w:sz w:val="20"/>
                <w:szCs w:val="20"/>
                <w:lang w:val="en-US" w:eastAsia="zh-CN"/>
              </w:rPr>
            </w:pPr>
          </w:p>
        </w:tc>
        <w:tc>
          <w:tcPr>
            <w:tcW w:w="420" w:type="dxa"/>
            <w:vAlign w:val="center"/>
          </w:tcPr>
          <w:p>
            <w:pPr>
              <w:widowControl/>
              <w:jc w:val="center"/>
              <w:rPr>
                <w:rFonts w:hint="eastAsia" w:ascii="宋体" w:hAnsi="宋体" w:cs="宋体"/>
                <w:color w:val="000000"/>
                <w:kern w:val="0"/>
                <w:sz w:val="20"/>
                <w:szCs w:val="20"/>
                <w:lang w:val="en-US" w:eastAsia="zh-CN"/>
              </w:rPr>
            </w:pPr>
          </w:p>
        </w:tc>
        <w:tc>
          <w:tcPr>
            <w:tcW w:w="420" w:type="dxa"/>
            <w:vAlign w:val="center"/>
          </w:tcPr>
          <w:p>
            <w:pPr>
              <w:widowControl/>
              <w:jc w:val="center"/>
              <w:rPr>
                <w:rFonts w:hint="eastAsia" w:ascii="宋体" w:hAnsi="宋体" w:cs="宋体"/>
                <w:color w:val="000000"/>
                <w:kern w:val="0"/>
                <w:sz w:val="20"/>
                <w:szCs w:val="20"/>
                <w:lang w:val="en-US" w:eastAsia="zh-CN"/>
              </w:rPr>
            </w:pPr>
          </w:p>
        </w:tc>
        <w:tc>
          <w:tcPr>
            <w:tcW w:w="468" w:type="dxa"/>
            <w:gridSpan w:val="2"/>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p>
        </w:tc>
        <w:tc>
          <w:tcPr>
            <w:tcW w:w="480" w:type="dxa"/>
            <w:vAlign w:val="top"/>
          </w:tcPr>
          <w:p>
            <w:pPr>
              <w:widowControl/>
              <w:jc w:val="left"/>
              <w:outlineLvl w:val="1"/>
              <w:rPr>
                <w:rFonts w:ascii="仿宋_GB2312" w:hAnsi="宋体" w:eastAsia="仿宋_GB2312"/>
                <w:kern w:val="0"/>
                <w:sz w:val="32"/>
                <w:szCs w:val="32"/>
              </w:rPr>
            </w:pPr>
          </w:p>
        </w:tc>
        <w:tc>
          <w:tcPr>
            <w:tcW w:w="468" w:type="dxa"/>
            <w:vAlign w:val="top"/>
          </w:tcPr>
          <w:p>
            <w:pPr>
              <w:widowControl/>
              <w:jc w:val="left"/>
              <w:outlineLvl w:val="1"/>
              <w:rPr>
                <w:rFonts w:ascii="仿宋_GB2312" w:hAnsi="宋体" w:eastAsia="仿宋_GB2312"/>
                <w:kern w:val="0"/>
                <w:sz w:val="32"/>
                <w:szCs w:val="32"/>
              </w:rPr>
            </w:pPr>
          </w:p>
        </w:tc>
        <w:tc>
          <w:tcPr>
            <w:tcW w:w="1236" w:type="dxa"/>
            <w:vAlign w:val="top"/>
          </w:tcPr>
          <w:p>
            <w:pPr>
              <w:widowControl/>
              <w:jc w:val="left"/>
              <w:outlineLvl w:val="1"/>
              <w:rPr>
                <w:rFonts w:ascii="仿宋_GB2312" w:hAnsi="宋体" w:eastAsia="仿宋_GB2312"/>
                <w:kern w:val="0"/>
                <w:sz w:val="32"/>
                <w:szCs w:val="32"/>
              </w:rPr>
            </w:pPr>
          </w:p>
        </w:tc>
        <w:tc>
          <w:tcPr>
            <w:tcW w:w="1104" w:type="dxa"/>
            <w:vAlign w:val="top"/>
          </w:tcPr>
          <w:p>
            <w:pPr>
              <w:widowControl/>
              <w:jc w:val="left"/>
              <w:outlineLvl w:val="1"/>
              <w:rPr>
                <w:rFonts w:ascii="仿宋_GB2312" w:hAnsi="宋体" w:eastAsia="仿宋_GB2312"/>
                <w:kern w:val="0"/>
                <w:sz w:val="32"/>
                <w:szCs w:val="32"/>
              </w:rPr>
            </w:pPr>
          </w:p>
        </w:tc>
        <w:tc>
          <w:tcPr>
            <w:tcW w:w="539" w:type="dxa"/>
            <w:vAlign w:val="top"/>
          </w:tcPr>
          <w:p>
            <w:pPr>
              <w:widowControl/>
              <w:jc w:val="left"/>
              <w:outlineLvl w:val="1"/>
              <w:rPr>
                <w:rFonts w:ascii="仿宋_GB2312" w:hAnsi="宋体" w:eastAsia="仿宋_GB2312"/>
                <w:kern w:val="0"/>
                <w:sz w:val="32"/>
                <w:szCs w:val="32"/>
              </w:rPr>
            </w:pPr>
          </w:p>
        </w:tc>
        <w:tc>
          <w:tcPr>
            <w:tcW w:w="459" w:type="dxa"/>
            <w:vAlign w:val="top"/>
          </w:tcPr>
          <w:p>
            <w:pPr>
              <w:widowControl/>
              <w:jc w:val="left"/>
              <w:outlineLvl w:val="1"/>
              <w:rPr>
                <w:rFonts w:ascii="仿宋_GB2312" w:hAnsi="宋体" w:eastAsia="仿宋_GB2312"/>
                <w:kern w:val="0"/>
                <w:sz w:val="32"/>
                <w:szCs w:val="32"/>
              </w:rPr>
            </w:pPr>
          </w:p>
        </w:tc>
        <w:tc>
          <w:tcPr>
            <w:tcW w:w="766" w:type="dxa"/>
            <w:vAlign w:val="top"/>
          </w:tcPr>
          <w:p>
            <w:pPr>
              <w:widowControl/>
              <w:jc w:val="left"/>
              <w:outlineLvl w:val="1"/>
              <w:rPr>
                <w:rFonts w:ascii="仿宋_GB2312" w:hAnsi="宋体" w:eastAsia="仿宋_GB2312"/>
                <w:kern w:val="0"/>
                <w:sz w:val="32"/>
                <w:szCs w:val="32"/>
              </w:rPr>
            </w:pPr>
          </w:p>
        </w:tc>
        <w:tc>
          <w:tcPr>
            <w:tcW w:w="422"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578" w:type="dxa"/>
            <w:gridSpan w:val="2"/>
            <w:vAlign w:val="top"/>
          </w:tcPr>
          <w:p>
            <w:pPr>
              <w:widowControl/>
              <w:jc w:val="left"/>
              <w:outlineLvl w:val="1"/>
              <w:rPr>
                <w:rFonts w:ascii="仿宋_GB2312" w:hAnsi="宋体" w:eastAsia="仿宋_GB2312"/>
                <w:kern w:val="0"/>
                <w:sz w:val="32"/>
                <w:szCs w:val="32"/>
              </w:rPr>
            </w:pPr>
          </w:p>
        </w:tc>
        <w:tc>
          <w:tcPr>
            <w:tcW w:w="419" w:type="dxa"/>
            <w:vAlign w:val="top"/>
          </w:tcPr>
          <w:p>
            <w:pPr>
              <w:widowControl/>
              <w:jc w:val="left"/>
              <w:outlineLvl w:val="1"/>
              <w:rPr>
                <w:rFonts w:ascii="仿宋_GB2312" w:hAnsi="宋体" w:eastAsia="仿宋_GB2312"/>
                <w:kern w:val="0"/>
                <w:sz w:val="32"/>
                <w:szCs w:val="32"/>
              </w:rPr>
            </w:pPr>
          </w:p>
        </w:tc>
        <w:tc>
          <w:tcPr>
            <w:tcW w:w="578"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68" w:type="dxa"/>
            <w:gridSpan w:val="2"/>
            <w:vAlign w:val="top"/>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04"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539" w:type="dxa"/>
            <w:vAlign w:val="center"/>
          </w:tcPr>
          <w:p>
            <w:pPr>
              <w:widowControl/>
              <w:jc w:val="center"/>
              <w:rPr>
                <w:rFonts w:hint="eastAsia" w:ascii="仿宋_GB2312" w:hAnsi="宋体" w:eastAsia="仿宋_GB2312"/>
                <w:kern w:val="0"/>
                <w:szCs w:val="21"/>
                <w:lang w:val="en-US" w:eastAsia="zh-CN"/>
              </w:rPr>
            </w:pPr>
            <w:r>
              <w:rPr>
                <w:rFonts w:hint="eastAsia" w:ascii="宋体" w:hAnsi="宋体" w:cs="宋体"/>
                <w:color w:val="000000"/>
                <w:kern w:val="0"/>
                <w:sz w:val="20"/>
                <w:szCs w:val="20"/>
                <w:lang w:val="en-US" w:eastAsia="zh-CN"/>
              </w:rPr>
              <w:t>345</w:t>
            </w:r>
          </w:p>
        </w:tc>
        <w:tc>
          <w:tcPr>
            <w:tcW w:w="459" w:type="dxa"/>
            <w:vAlign w:val="center"/>
          </w:tcPr>
          <w:p>
            <w:pPr>
              <w:widowControl/>
              <w:jc w:val="center"/>
              <w:rPr>
                <w:rFonts w:ascii="仿宋_GB2312" w:hAnsi="宋体" w:eastAsia="仿宋_GB2312"/>
                <w:kern w:val="0"/>
                <w:sz w:val="32"/>
                <w:szCs w:val="32"/>
              </w:rPr>
            </w:pPr>
          </w:p>
        </w:tc>
        <w:tc>
          <w:tcPr>
            <w:tcW w:w="766" w:type="dxa"/>
            <w:vAlign w:val="center"/>
          </w:tcPr>
          <w:p>
            <w:pPr>
              <w:widowControl/>
              <w:jc w:val="center"/>
              <w:rPr>
                <w:rFonts w:ascii="仿宋_GB2312" w:hAnsi="宋体" w:eastAsia="仿宋_GB2312"/>
                <w:kern w:val="0"/>
                <w:sz w:val="32"/>
                <w:szCs w:val="32"/>
              </w:rPr>
            </w:pPr>
            <w:r>
              <w:rPr>
                <w:rFonts w:hint="eastAsia" w:ascii="宋体" w:hAnsi="宋体" w:cs="宋体"/>
                <w:color w:val="000000"/>
                <w:kern w:val="0"/>
                <w:sz w:val="20"/>
                <w:szCs w:val="20"/>
                <w:lang w:val="en-US" w:eastAsia="zh-CN"/>
              </w:rPr>
              <w:t>345</w:t>
            </w:r>
          </w:p>
        </w:tc>
        <w:tc>
          <w:tcPr>
            <w:tcW w:w="42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10"/>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9.00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8.00</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8.00</w:t>
            </w:r>
          </w:p>
        </w:tc>
        <w:tc>
          <w:tcPr>
            <w:tcW w:w="1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10"/>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本单位未安排</w:t>
      </w:r>
      <w:r>
        <w:rPr>
          <w:rFonts w:hint="eastAsia" w:ascii="仿宋_GB2312" w:hAnsi="宋体" w:eastAsia="仿宋_GB2312"/>
          <w:b/>
          <w:kern w:val="0"/>
          <w:sz w:val="28"/>
          <w:szCs w:val="32"/>
        </w:rPr>
        <w:t>政府性基金预算。</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克州国土资源规划勘测院</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735.25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640.25万元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95.00万元</w:t>
      </w:r>
      <w:r>
        <w:rPr>
          <w:rFonts w:hint="eastAsia" w:ascii="仿宋_GB2312" w:hAnsi="宋体" w:eastAsia="仿宋_GB2312" w:cs="宋体"/>
          <w:kern w:val="0"/>
          <w:sz w:val="32"/>
          <w:szCs w:val="32"/>
        </w:rPr>
        <w:t>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支出预算包括：自然资源海洋气象等支出</w:t>
      </w:r>
      <w:r>
        <w:rPr>
          <w:rFonts w:hint="eastAsia" w:ascii="仿宋_GB2312" w:hAnsi="宋体" w:eastAsia="仿宋_GB2312" w:cs="宋体"/>
          <w:kern w:val="0"/>
          <w:sz w:val="32"/>
          <w:szCs w:val="32"/>
          <w:lang w:val="en-US" w:eastAsia="zh-CN"/>
        </w:rPr>
        <w:t>735.25万元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克州国土资源规划勘测院</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735.25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640.25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87</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9.61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违法计划生育人员工资的减少</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95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50.57</w:t>
      </w:r>
      <w:r>
        <w:rPr>
          <w:rFonts w:hint="eastAsia" w:ascii="仿宋_GB2312" w:hAnsi="宋体" w:eastAsia="仿宋_GB2312" w:cs="宋体"/>
          <w:kern w:val="0"/>
          <w:sz w:val="32"/>
          <w:szCs w:val="32"/>
        </w:rPr>
        <w:t>万元，主要原是</w:t>
      </w:r>
      <w:r>
        <w:rPr>
          <w:rFonts w:hint="eastAsia" w:ascii="仿宋_GB2312" w:hAnsi="宋体" w:eastAsia="仿宋_GB2312" w:cs="宋体"/>
          <w:kern w:val="0"/>
          <w:sz w:val="32"/>
          <w:szCs w:val="32"/>
          <w:lang w:eastAsia="zh-CN"/>
        </w:rPr>
        <w:t>财政返还上年超额完成勘界收入，导致上年结余的增加</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克州国土资源规划勘测院</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735.25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390.25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53</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45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违法计划生育人员工资的减少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345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85.96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工作量比上年增多，公用经费有所增加</w:t>
      </w:r>
      <w:r>
        <w:rPr>
          <w:rFonts w:hint="eastAsia" w:ascii="仿宋_GB2312" w:hAnsi="宋体" w:eastAsia="仿宋_GB2312" w:cs="宋体"/>
          <w:kern w:val="0"/>
          <w:sz w:val="32"/>
          <w:szCs w:val="32"/>
        </w:rPr>
        <w:t>。</w:t>
      </w:r>
    </w:p>
    <w:p>
      <w:pPr>
        <w:numPr>
          <w:ilvl w:val="0"/>
          <w:numId w:val="1"/>
        </w:numPr>
        <w:spacing w:line="560" w:lineRule="exact"/>
        <w:ind w:firstLine="640" w:firstLineChars="200"/>
        <w:rPr>
          <w:rFonts w:hint="eastAsia" w:ascii="黑体" w:hAnsi="黑体" w:eastAsia="黑体" w:cs="宋体"/>
          <w:bCs/>
          <w:kern w:val="0"/>
          <w:sz w:val="32"/>
          <w:szCs w:val="32"/>
        </w:rPr>
      </w:pPr>
      <w:r>
        <w:rPr>
          <w:rFonts w:hint="eastAsia" w:ascii="黑体" w:hAnsi="黑体" w:eastAsia="黑体" w:cs="宋体"/>
          <w:bCs/>
          <w:kern w:val="0"/>
          <w:sz w:val="32"/>
          <w:szCs w:val="32"/>
        </w:rPr>
        <w:t>关于</w:t>
      </w:r>
      <w:r>
        <w:rPr>
          <w:rFonts w:hint="eastAsia" w:ascii="黑体" w:hAnsi="黑体" w:eastAsia="黑体" w:cs="宋体"/>
          <w:bCs/>
          <w:kern w:val="0"/>
          <w:sz w:val="32"/>
          <w:szCs w:val="32"/>
          <w:lang w:eastAsia="zh-CN"/>
        </w:rPr>
        <w:t>克州国土资源规划勘测院</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640.25</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numPr>
          <w:ilvl w:val="0"/>
          <w:numId w:val="0"/>
        </w:numPr>
        <w:spacing w:line="560" w:lineRule="exact"/>
        <w:ind w:firstLine="640" w:firstLineChars="200"/>
        <w:rPr>
          <w:rFonts w:hint="eastAsia" w:ascii="黑体" w:hAnsi="黑体" w:eastAsia="仿宋_GB2312" w:cs="宋体"/>
          <w:bCs/>
          <w:kern w:val="0"/>
          <w:sz w:val="32"/>
          <w:szCs w:val="32"/>
          <w:lang w:val="en-US" w:eastAsia="zh-CN"/>
        </w:rPr>
      </w:pPr>
      <w:r>
        <w:rPr>
          <w:rFonts w:hint="eastAsia" w:ascii="仿宋_GB2312" w:hAnsi="宋体" w:eastAsia="仿宋_GB2312" w:cs="宋体"/>
          <w:kern w:val="0"/>
          <w:sz w:val="32"/>
          <w:szCs w:val="32"/>
        </w:rPr>
        <w:t>支出预算</w:t>
      </w:r>
      <w:r>
        <w:rPr>
          <w:rFonts w:hint="eastAsia" w:ascii="仿宋_GB2312" w:hAnsi="宋体" w:eastAsia="仿宋_GB2312" w:cs="宋体"/>
          <w:kern w:val="0"/>
          <w:sz w:val="32"/>
          <w:szCs w:val="32"/>
          <w:lang w:eastAsia="zh-CN"/>
        </w:rPr>
        <w:t>包括：一般公共服务支出</w:t>
      </w:r>
      <w:r>
        <w:rPr>
          <w:rFonts w:hint="eastAsia" w:ascii="仿宋_GB2312" w:hAnsi="宋体" w:eastAsia="仿宋_GB2312" w:cs="宋体"/>
          <w:kern w:val="0"/>
          <w:sz w:val="32"/>
          <w:szCs w:val="32"/>
          <w:lang w:val="en-US" w:eastAsia="zh-CN"/>
        </w:rPr>
        <w:t>640.25万元，主要用于：人员经费和公用经费支出。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克州国土资源规划勘测院</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390.25</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152.65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28.1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违法计划生育人员工资的减少。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国土资源气象等支出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220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640.25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87</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国土资源气象等支出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220</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自然资源事务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自然资源规划及管理</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04</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640.25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97.35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15.2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工作量比上年增多，公用经费有所增加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390.25</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385.5</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119.05万元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149.51万元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9.92万元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39.06万元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23.45万元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28.29万元，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15.58万元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0.63万元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4.76</w:t>
      </w:r>
      <w:r>
        <w:rPr>
          <w:rFonts w:hint="eastAsia" w:ascii="仿宋_GB2312" w:hAnsi="宋体" w:eastAsia="仿宋_GB2312" w:cs="宋体"/>
          <w:kern w:val="0"/>
          <w:sz w:val="32"/>
          <w:szCs w:val="32"/>
        </w:rPr>
        <w:t>万元，主要包括：工会经费</w:t>
      </w:r>
      <w:r>
        <w:rPr>
          <w:rFonts w:hint="eastAsia" w:ascii="仿宋_GB2312" w:hAnsi="宋体" w:eastAsia="仿宋_GB2312" w:cs="宋体"/>
          <w:kern w:val="0"/>
          <w:sz w:val="32"/>
          <w:szCs w:val="32"/>
          <w:lang w:val="en-US" w:eastAsia="zh-CN"/>
        </w:rPr>
        <w:t>1.70万元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3.06万元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克州国土资源规划勘测院</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商品和服务支出</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用于解决和开展国土资源规划业务费用</w:t>
      </w:r>
    </w:p>
    <w:p>
      <w:pPr>
        <w:spacing w:line="560" w:lineRule="exact"/>
        <w:ind w:firstLine="640" w:firstLineChars="200"/>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345</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克州国土资源规划勘测院</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商品和服务支出</w:t>
      </w:r>
      <w:r>
        <w:rPr>
          <w:rFonts w:hint="eastAsia" w:ascii="仿宋_GB2312" w:hAnsi="宋体" w:eastAsia="仿宋_GB2312" w:cs="宋体"/>
          <w:kern w:val="0"/>
          <w:sz w:val="32"/>
          <w:szCs w:val="32"/>
          <w:lang w:val="en-US" w:eastAsia="zh-CN"/>
        </w:rPr>
        <w:t>345万元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2020年全年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克州国土资源规划勘测院</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0万元，</w:t>
      </w:r>
      <w:r>
        <w:rPr>
          <w:rFonts w:hint="eastAsia" w:ascii="仿宋_GB2312" w:hAnsi="宋体" w:eastAsia="仿宋_GB2312" w:cs="宋体"/>
          <w:kern w:val="0"/>
          <w:sz w:val="32"/>
          <w:szCs w:val="32"/>
        </w:rPr>
        <w:t>公务用车运行费</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，未安排预算。公务用车运行费增加（减少）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与上年持平</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按照三公经费只减不增的原则，进一步加强三公经费的管理</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克州国土资源规划勘测院</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（一）机关运行经费情况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eastAsia="zh-CN"/>
        </w:rPr>
        <w:t>克州国土资源规划勘测院</w:t>
      </w:r>
      <w:r>
        <w:rPr>
          <w:rFonts w:hint="eastAsia" w:ascii="仿宋_GB2312" w:hAnsi="宋体" w:eastAsia="仿宋_GB2312" w:cs="宋体"/>
          <w:color w:val="auto"/>
          <w:kern w:val="0"/>
          <w:sz w:val="32"/>
          <w:szCs w:val="32"/>
        </w:rPr>
        <w:t>本级及下属</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家行政单位和</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家事业单位的机关运行经费财政拨款预算</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万元，比上年预算增加（减少）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万元，增长（下降）</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未安排预算</w:t>
      </w:r>
      <w:r>
        <w:rPr>
          <w:rFonts w:hint="eastAsia" w:ascii="仿宋_GB2312" w:hAnsi="宋体" w:eastAsia="仿宋_GB2312" w:cs="宋体"/>
          <w:color w:val="auto"/>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98.15</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90.65</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万元，政府采购服务预算 </w:t>
      </w:r>
      <w:r>
        <w:rPr>
          <w:rFonts w:hint="eastAsia" w:ascii="仿宋_GB2312" w:hAnsi="宋体" w:eastAsia="仿宋_GB2312" w:cs="宋体"/>
          <w:kern w:val="0"/>
          <w:sz w:val="32"/>
          <w:szCs w:val="32"/>
          <w:lang w:val="en-US" w:eastAsia="zh-CN"/>
        </w:rPr>
        <w:t>7.5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rPr>
        <w:t>占用使用国有资产总体情况为</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58.31</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58.31</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338.56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年部门预算安排购置车辆经费</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345</w:t>
      </w:r>
      <w:r>
        <w:rPr>
          <w:rFonts w:hint="eastAsia" w:ascii="仿宋_GB2312" w:hAnsi="宋体" w:eastAsia="仿宋_GB2312" w:cs="宋体"/>
          <w:kern w:val="0"/>
          <w:sz w:val="32"/>
          <w:szCs w:val="32"/>
        </w:rPr>
        <w:t>万元。具体情况见下表：</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10"/>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克州国土资源规划勘测院</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345.00万元</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345.00万元</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保障单位日常工作正常运行，主要用于办公费，差旅费，公务用车运行维护费，公务接待费等。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办公费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0.78万元/次</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委托业务费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0.5万元/次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公务用车运行维护费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差旅费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0.1万元/次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设备采购</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0.62万元/批</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勘界工作开始时间及结束时间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2020年1月-2020年12月</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办公费使用次数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rPr>
              <w:t>　</w:t>
            </w:r>
            <w:r>
              <w:rPr>
                <w:rFonts w:hint="eastAsia" w:ascii="宋体" w:hAnsi="宋体" w:cs="宋体"/>
                <w:kern w:val="0"/>
                <w:sz w:val="18"/>
                <w:szCs w:val="18"/>
                <w:lang w:val="en-US" w:eastAsia="zh-CN"/>
              </w:rPr>
              <w:t>250次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eastAsia="zh-CN"/>
              </w:rPr>
              <w:t>委托业务次数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eastAsia="zh-CN"/>
              </w:rPr>
              <w:t>公务用车运行维护次数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出差次数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150次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办公用品及设备采购</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100批</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做土地勘测定界技术报告书符合国家行业标准率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提高工作效率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有效提高</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提升服务水平</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工作人员满意度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numPr>
          <w:ilvl w:val="0"/>
          <w:numId w:val="2"/>
        </w:numPr>
        <w:spacing w:line="520" w:lineRule="exact"/>
        <w:ind w:firstLine="630" w:firstLineChars="196"/>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widowControl/>
        <w:numPr>
          <w:ilvl w:val="0"/>
          <w:numId w:val="0"/>
        </w:numPr>
        <w:spacing w:line="520" w:lineRule="exact"/>
        <w:ind w:firstLine="1280" w:firstLineChars="400"/>
        <w:jc w:val="left"/>
        <w:rPr>
          <w:rFonts w:hint="eastAsia" w:ascii="楷体_GB2312" w:hAnsi="宋体" w:eastAsia="楷体_GB2312" w:cs="宋体"/>
          <w:b w:val="0"/>
          <w:bCs/>
          <w:kern w:val="0"/>
          <w:sz w:val="32"/>
          <w:szCs w:val="32"/>
          <w:lang w:eastAsia="zh-CN"/>
        </w:rPr>
      </w:pPr>
      <w:r>
        <w:rPr>
          <w:rFonts w:hint="eastAsia" w:ascii="楷体_GB2312" w:hAnsi="宋体" w:eastAsia="楷体_GB2312" w:cs="宋体"/>
          <w:b w:val="0"/>
          <w:bCs/>
          <w:kern w:val="0"/>
          <w:sz w:val="32"/>
          <w:szCs w:val="32"/>
          <w:lang w:eastAsia="zh-CN"/>
        </w:rPr>
        <w:t>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4789" w:leftChars="2128" w:hanging="320" w:hangingChars="100"/>
        <w:jc w:val="left"/>
        <w:rPr>
          <w:rFonts w:ascii="仿宋_GB2312" w:hAnsi="宋体" w:eastAsia="仿宋_GB2312" w:cs="宋体"/>
          <w:color w:val="FF0000"/>
          <w:kern w:val="0"/>
          <w:sz w:val="32"/>
          <w:szCs w:val="32"/>
        </w:rPr>
      </w:pPr>
      <w:r>
        <w:rPr>
          <w:rFonts w:hint="eastAsia" w:ascii="仿宋_GB2312" w:hAnsi="宋体" w:eastAsia="仿宋_GB2312" w:cs="宋体"/>
          <w:kern w:val="0"/>
          <w:sz w:val="32"/>
          <w:szCs w:val="32"/>
          <w:lang w:eastAsia="zh-CN"/>
        </w:rPr>
        <w:t>克州国土资源规划勘测院</w:t>
      </w:r>
      <w:r>
        <w:rPr>
          <w:rFonts w:hint="eastAsia" w:ascii="仿宋_GB2312" w:hAnsi="宋体" w:eastAsia="仿宋_GB2312" w:cs="宋体"/>
          <w:kern w:val="0"/>
          <w:sz w:val="32"/>
          <w:szCs w:val="32"/>
        </w:rPr>
        <w:t xml:space="preserve">                                </w:t>
      </w:r>
      <w:r>
        <w:rPr>
          <w:rFonts w:hint="eastAsia" w:ascii="仿宋_GB2312" w:hAnsi="宋体" w:eastAsia="仿宋_GB2312" w:cs="宋体"/>
          <w:color w:val="auto"/>
          <w:kern w:val="0"/>
          <w:sz w:val="32"/>
          <w:szCs w:val="32"/>
          <w:lang w:val="en-US" w:eastAsia="zh-CN"/>
        </w:rPr>
        <w:t>2020</w:t>
      </w:r>
      <w:r>
        <w:rPr>
          <w:rFonts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1</w:t>
      </w:r>
      <w:r>
        <w:rPr>
          <w:rFonts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21</w:t>
      </w:r>
      <w:r>
        <w:rPr>
          <w:rFonts w:ascii="仿宋_GB2312" w:hAnsi="宋体" w:eastAsia="仿宋_GB2312" w:cs="宋体"/>
          <w:color w:val="auto"/>
          <w:kern w:val="0"/>
          <w:sz w:val="32"/>
          <w:szCs w:val="32"/>
        </w:rPr>
        <w:t>日</w:t>
      </w:r>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30204"/>
    <w:charset w:val="00"/>
    <w:family w:val="auto"/>
    <w:pitch w:val="default"/>
    <w:sig w:usb0="00000000" w:usb1="00000000" w:usb2="00000000" w:usb3="00000000" w:csb0="00000093"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194"/>
    <w:multiLevelType w:val="singleLevel"/>
    <w:tmpl w:val="1C592194"/>
    <w:lvl w:ilvl="0" w:tentative="0">
      <w:start w:val="4"/>
      <w:numFmt w:val="chineseCounting"/>
      <w:suff w:val="nothing"/>
      <w:lvlText w:val="%1、"/>
      <w:lvlJc w:val="left"/>
      <w:rPr>
        <w:rFonts w:hint="eastAsia"/>
      </w:rPr>
    </w:lvl>
  </w:abstractNum>
  <w:abstractNum w:abstractNumId="1">
    <w:nsid w:val="676E957C"/>
    <w:multiLevelType w:val="singleLevel"/>
    <w:tmpl w:val="676E957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81CD5"/>
    <w:rsid w:val="00012D28"/>
    <w:rsid w:val="00032AE8"/>
    <w:rsid w:val="000343F0"/>
    <w:rsid w:val="000D56B0"/>
    <w:rsid w:val="00106382"/>
    <w:rsid w:val="00114DEC"/>
    <w:rsid w:val="001934F0"/>
    <w:rsid w:val="001E1975"/>
    <w:rsid w:val="00324290"/>
    <w:rsid w:val="00387451"/>
    <w:rsid w:val="00432267"/>
    <w:rsid w:val="00481CD5"/>
    <w:rsid w:val="005C42E0"/>
    <w:rsid w:val="008160EE"/>
    <w:rsid w:val="009D0AA2"/>
    <w:rsid w:val="00B22D8A"/>
    <w:rsid w:val="00D06D6F"/>
    <w:rsid w:val="00E469CA"/>
    <w:rsid w:val="00E7167C"/>
    <w:rsid w:val="18C377A8"/>
    <w:rsid w:val="1C0375C6"/>
    <w:rsid w:val="20716CEE"/>
    <w:rsid w:val="26216880"/>
    <w:rsid w:val="2B4373F8"/>
    <w:rsid w:val="30B91C68"/>
    <w:rsid w:val="37E72E54"/>
    <w:rsid w:val="4A9D5911"/>
    <w:rsid w:val="4C150D53"/>
    <w:rsid w:val="4EA25710"/>
    <w:rsid w:val="4FC854F3"/>
    <w:rsid w:val="523C514D"/>
    <w:rsid w:val="5B7C3DA5"/>
    <w:rsid w:val="5C08720C"/>
    <w:rsid w:val="5D2E6FEF"/>
    <w:rsid w:val="627D4E4E"/>
    <w:rsid w:val="65664294"/>
    <w:rsid w:val="67D14916"/>
    <w:rsid w:val="6C25217A"/>
    <w:rsid w:val="70541DAA"/>
    <w:rsid w:val="79AC6BE2"/>
    <w:rsid w:val="7D161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2"/>
    <w:semiHidden/>
    <w:qFormat/>
    <w:uiPriority w:val="0"/>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4"/>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
    <w:name w:val="List Paragraph"/>
    <w:basedOn w:val="1"/>
    <w:qFormat/>
    <w:uiPriority w:val="34"/>
    <w:pPr>
      <w:ind w:firstLine="420" w:firstLineChars="200"/>
    </w:pPr>
    <w:rPr>
      <w:rFonts w:ascii="Calibri" w:hAnsi="Calibri"/>
      <w:szCs w:val="22"/>
    </w:rPr>
  </w:style>
  <w:style w:type="paragraph" w:customStyle="1" w:styleId="14">
    <w:name w:val="普通(网站)1"/>
    <w:basedOn w:val="1"/>
    <w:qFormat/>
    <w:uiPriority w:val="0"/>
    <w:rPr>
      <w:rFonts w:ascii="Calibri" w:hAnsi="Calibri" w:cs="黑体"/>
      <w:sz w:val="24"/>
    </w:rPr>
  </w:style>
  <w:style w:type="paragraph" w:customStyle="1" w:styleId="15">
    <w:name w:val="普通(网站)2"/>
    <w:basedOn w:val="1"/>
    <w:qFormat/>
    <w:uiPriority w:val="0"/>
    <w:rPr>
      <w:rFonts w:ascii="Calibri" w:hAnsi="Calibri" w:cs="黑体"/>
      <w:sz w:val="24"/>
    </w:rPr>
  </w:style>
  <w:style w:type="paragraph" w:customStyle="1" w:styleId="16">
    <w:name w:val="普通(网站)3"/>
    <w:basedOn w:val="1"/>
    <w:qFormat/>
    <w:uiPriority w:val="0"/>
    <w:rPr>
      <w:rFonts w:ascii="Calibri" w:hAnsi="Calibri" w:cs="黑体"/>
      <w:sz w:val="24"/>
    </w:rPr>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character" w:customStyle="1" w:styleId="19">
    <w:name w:val="批注框文本 字符"/>
    <w:basedOn w:val="7"/>
    <w:semiHidden/>
    <w:qFormat/>
    <w:uiPriority w:val="99"/>
    <w:rPr>
      <w:rFonts w:ascii="Times New Roman" w:hAnsi="Times New Roman" w:eastAsia="宋体" w:cs="Times New Roman"/>
      <w:sz w:val="18"/>
      <w:szCs w:val="18"/>
    </w:rPr>
  </w:style>
  <w:style w:type="character" w:customStyle="1" w:styleId="20">
    <w:name w:val="正文文本缩进 3 字符"/>
    <w:basedOn w:val="7"/>
    <w:semiHidden/>
    <w:qFormat/>
    <w:uiPriority w:val="99"/>
    <w:rPr>
      <w:rFonts w:ascii="Times New Roman" w:hAnsi="Times New Roman" w:eastAsia="宋体" w:cs="Times New Roman"/>
      <w:sz w:val="16"/>
      <w:szCs w:val="16"/>
    </w:rPr>
  </w:style>
  <w:style w:type="character" w:customStyle="1" w:styleId="21">
    <w:name w:val="页脚 字符1"/>
    <w:qFormat/>
    <w:uiPriority w:val="99"/>
    <w:rPr>
      <w:rFonts w:ascii="Times New Roman" w:hAnsi="Times New Roman" w:eastAsia="黑体" w:cs="Times New Roman"/>
      <w:snapToGrid w:val="0"/>
      <w:kern w:val="0"/>
      <w:sz w:val="18"/>
      <w:szCs w:val="18"/>
    </w:rPr>
  </w:style>
  <w:style w:type="character" w:customStyle="1" w:styleId="22">
    <w:name w:val="批注框文本 字符1"/>
    <w:link w:val="2"/>
    <w:semiHidden/>
    <w:qFormat/>
    <w:uiPriority w:val="0"/>
    <w:rPr>
      <w:rFonts w:ascii="Times New Roman" w:hAnsi="Times New Roman" w:eastAsia="宋体" w:cs="Times New Roman"/>
      <w:sz w:val="18"/>
      <w:szCs w:val="18"/>
    </w:rPr>
  </w:style>
  <w:style w:type="character" w:customStyle="1" w:styleId="23">
    <w:name w:val="页眉 字符1"/>
    <w:qFormat/>
    <w:uiPriority w:val="0"/>
    <w:rPr>
      <w:rFonts w:ascii="Times New Roman" w:hAnsi="Times New Roman" w:eastAsia="宋体" w:cs="Times New Roman"/>
      <w:sz w:val="18"/>
      <w:szCs w:val="18"/>
    </w:rPr>
  </w:style>
  <w:style w:type="character" w:customStyle="1" w:styleId="24">
    <w:name w:val="正文文本缩进 3 字符1"/>
    <w:link w:val="5"/>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5584</Words>
  <Characters>6425</Characters>
  <Lines>74</Lines>
  <Paragraphs>21</Paragraphs>
  <TotalTime>633</TotalTime>
  <ScaleCrop>false</ScaleCrop>
  <LinksUpToDate>false</LinksUpToDate>
  <CharactersWithSpaces>7952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2020-01-22T10:38:00Z</cp:lastPrinted>
  <dcterms:modified xsi:type="dcterms:W3CDTF">2020-11-28T10:49:23Z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