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市场监督管理局2020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克州市场监督管理局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克州市场监督管理局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（一）负责市场综合监督管理和知识产权管理。贯彻执行国家市场监督管理和知识产权管理有关法律和规章，参与起草市场监管和知识产权管理的地方性法规、政策、标准，组织实施质量强州战略、食品安全战略、标准化战略和知识产权战略。拟订并组织实施有关规划，规范和维护市场秩序，营造诚实守信、公平竞争的市场环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）负责市场主体统一登记注册。指导各类企业、农民专业合作社和从事经营活动的单位、个体工商户，以及外国（地区）企业常驻代表机构等市场主体的登记注册。建立市场主体信息公示和共享机制，依法公示和共享有关信息，加强信用监管，推动市场主体信用体系建设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（三）负责组织指导市场监管和知识产权综合执法工作。指导各县（市）市场监管综合执法队伍整合和建设，推动实行统一的市场监管。组织查处重大违法案件。规范市场监管和知识产权行政执法行为。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四）负责反垄断统一执法。统筹推进竞争政策实施，指导实施公平竞争审查制度。依据授权负责垄断协议、滥用市场支配地位和滥用行政权力排除、限制竞争等反垄断执法工作。依法对经营者集中行为进行反垄断审查，指导企业的反垄断应诉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五）负责监督管理市场秩序。依法监督管理市场交易，网络商品交易及有关服务的行为。组织指导查处价格收费违法违规、不正当竞争、违法直销、传销、侵犯商标专利知识产权和制售假冒伪劣商品行为。指导广告业发展，监督管理广告活动。指导查处无照生产经营和相关无证生产经营行为。指导自治州消费者协会开展消费维权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六）负责宏观质量管理。拟订并实施质量发展的制度措施。统筹质量基础设施建设与应用，会同有关部门组织实施重大工程设备质量监理制度，组织重大质量事故调查，组织实施缺陷产品召回制度，监督管理产品防伪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（七）负责产品质量安全监督管理。管理产品质量监督抽查、风险监控工作。组织实施质量分级制度、质量安全追溯制度。指导工业产品生产许可管理。负责纤维质量监督工作。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（八）负责特种设备安全监督管理。综合管理特种设备安全监察、监督工作，监督检查高耗能特种设备节能标准和锅炉环境保护标准的执行情况。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（九）负责食品安全监督管理综合协调。贯彻落实食品安全重大政策。负责食品安全应急体系建设，组织指导重大食品安全事件应急处置和调查处理工作。建立健全食品安全重要信息直报制度。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十）负责食品安全监督管理。建立覆盖食品生产、流通、消费全过程的监督检查制度和隐患排查治理机制并组织实施，防范区域性、系统性食品安全风险。推动建立食品生产经营者落实主体责任的机制，健全食品安全追溯体系。组织开展食品安全监督抽检、风险监测、检查处置和风险预警、风险交流工作。组织实施特殊食品注册核查、备案和监督管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（十一）负责统一管理计量工作。执行国家计量制度，推行国家法定计量单位，依法管理计量器具及量值传递和比对工作。规范、监督商品量和市场计量行为。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（十二）负责统一管理标准化工作。依法承担地方标准的立项、编号、制定和发布等工作。依法协调指导和监督团体标准、企业标准制定工作。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（十三）负责统一管理检验检测工作。推进检验检测机构改革，规范检验检测市场，完善检验检测体系，指导协调检验检测行业发展。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（十四）负责统一管理、监督和综合协调认证认可工作。建立并组织实施统一的认证认可和合格评定监督管理制度。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（十五）负责市场监督管理和知识产权科技与信息化建设、新闻宣传，以及对外交流合作。按规定承担技术性贸易措施有关工作。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十六）负责促进知识产权运用。贯彻实施知识产权激励奖励制度、知识产权转化运用和交易运营政策措施。指导落实商标、专利、原产地地理标志申请的审查、确权相关前置服务工作。指导知识产权无形资产评估、审查评议工作。指导和促进知识产权服务业发展。统筹指导知识产权公共服务体系建设，推动知识产权信息传播利用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十七）负责保护知识产权。拟订实施严格保护商标、专利、原产地地理标志等知识产权制度措施。研究提出知识产权保护体系建设方案并组织实施，推动建设知识产权保护体系。负责组织指导商标、专利执法工作，指导知识产权争议处理、维权援助和纠纷调处。组织指导知识产权预警和涉外保护工作。贯彻实施鼓励新领域、新业态、新模式创新的知识产权保护、管理和服务政策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十八）负责药品（含中药、民族药，下同）、医疗器械和化妆品安全监督管理。贯彻落实国家关于药品、医疗器械和化妆品监督管理的法律、法规、规章和政策，参与拟定全州相关地方性法规草案、政府规划草案，并组织实施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（十九）监督实施药品、医疗器械、化妆品相关标准和分类管理制度。执行中药材地方标准和中药饮片炮制规范，并监督实施。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（二十）负责职权内的药品、医疗器械、化妆品的注册管理。落实国家注册管理制度，严格上市审评审批，完善审评审批服务便利化措施。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（二十一）负责药品、医疗器械、化妆品质量管理。监督实施生产质量管理规范。依职责监督、指导实施经营和使用质量管理规范。负责药品、医疗器械互联网销售第三方平台备案及监督管理。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（二十二）负责药品、医疗器械和化妆品上市后风险管理。组织开展全州药品、化妆品不良反应和医疗器械不良事件监测及处置。组织开展药物滥用监测。依法承担药品、医疗器械和化妆品应急管理。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（二十三）执行执业药师资格准入制度，落实组织实施全州执业药师注册工作。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（二十四）负责组织指导药品、医疗器械和化妆品监督检查，依职责组织指导查处药品、医疗器械、化妆品生产、经营和使用环节的违法行为。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（二十五）负责权限内药品、医疗器械和化妆品监督管理领域政策法规宣传、信息发布、对外交流与合作。推进信用体系建设。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（二十六）负责指导县（市）、两个口岸市场监督管理工作。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（二十七）承担自治州食品安全委员会的具体工作。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（二十八）按照“管行业必须管安全、管业务必须管安全”的要求，对本行业领域安全生产负行业监管（行业主管）职责，组织开展本行业领域安全生产宣传教育、日常监督检查工作。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（二十九）完成自治州党委、自治州人民政府交办的其他任务。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克州市场监督管理局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办公室、法规科、执法稽查科、登记注册行政许可审批科、信用监督管理科、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fill="FFFFFF"/>
        </w:rPr>
        <w:t>质量发展安全监督管理科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fill="FFFFFF"/>
          <w:lang w:eastAsia="zh-CN"/>
        </w:rPr>
        <w:t>、特种设备安全监察科、标准、计量、认证认可监督管理科、食品安全协调科、食品流通监督管理科、食品餐饮监督管理科、药品、医疗器械生产、流通监督管理科、价格监督检查科、反垄断、反不正当竞争执法监督检查科（规范直销与打击传销办公室）、知识产权保护科、广告和信息化监督管理科、自治州市场监督管理局喀什经济开发区伊尔克什坦口岸园区分局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fill="FFFFFF"/>
        </w:rPr>
        <w:t>自治州市场监督管理局吐尔尕特口岸分局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克州市场监督管理局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克州市场监督管理局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1851.7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2099.7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1851.7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2099.7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2099.7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2099.7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克州市场监督管理局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10"/>
        <w:tblW w:w="1101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126"/>
        <w:gridCol w:w="820"/>
        <w:gridCol w:w="816"/>
        <w:gridCol w:w="680"/>
        <w:gridCol w:w="680"/>
        <w:gridCol w:w="680"/>
        <w:gridCol w:w="524"/>
        <w:gridCol w:w="767"/>
        <w:gridCol w:w="709"/>
        <w:gridCol w:w="417"/>
        <w:gridCol w:w="1043"/>
        <w:gridCol w:w="1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市场主体管理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行政运行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2004.7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1814.7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其他市场监督管理事务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2099.7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1851.7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克州市场监督管理局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00"/>
        <w:gridCol w:w="400"/>
        <w:gridCol w:w="2581"/>
        <w:gridCol w:w="1845"/>
        <w:gridCol w:w="1846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市场主体管理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行政运行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2004.7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2004.7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其他市场监督管理事务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2099.7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2004.7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克州市场监督管理局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单位：万元</w:t>
      </w:r>
    </w:p>
    <w:tbl>
      <w:tblPr>
        <w:tblStyle w:val="10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73"/>
        <w:gridCol w:w="2337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0"/>
                <w:tab w:val="right" w:pos="1354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1851.7.7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1851.7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1851.7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1851.7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1851.7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1851.7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1851.7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克州市场监督管理局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其他市场监督管理事务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1814.7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1814.7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市场主体管理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1851.7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1814.7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467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16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克州市场监督管理局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445.11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106.32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106.32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00" w:hanging="200" w:hangingChars="1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116.13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维修（护）费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646.87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646.87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158.78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158.78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1814.7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1684.46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130.24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659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520"/>
        <w:gridCol w:w="426"/>
        <w:gridCol w:w="426"/>
        <w:gridCol w:w="1155"/>
        <w:gridCol w:w="1152"/>
        <w:gridCol w:w="750"/>
        <w:gridCol w:w="108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8" w:type="dxa"/>
          <w:trHeight w:val="375" w:hRule="atLeast"/>
        </w:trPr>
        <w:tc>
          <w:tcPr>
            <w:tcW w:w="9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8" w:type="dxa"/>
          <w:trHeight w:val="405" w:hRule="atLeast"/>
        </w:trPr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克州市场监督管理局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15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其他市场监督管理事务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群众工作经费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市场主体管理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价格监督专项业务经费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ind w:firstLine="210" w:firstLineChars="100"/>
              <w:jc w:val="both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其他市场监督管理事务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联建工作经费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克州市场监督管理局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21.84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21.84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21.84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克州市场监督管理局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2020年克州市场监督管理局未安排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2099.7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收入预算包括：一般公共预算、其他收入、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上级专项收入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克州市场监督管理局2020年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2099.7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1851.7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88.19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1851.7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新组建成立单位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其他收入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9.05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新组建成立单位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上级专项收入58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2.76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新组建成立单位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2099.7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2004.7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95.48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2004.7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新组建成立单位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4.52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新组建成立单位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克州市场监督管理局2020年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1851.7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克州市场监督管理局2020年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克州市场监督管理局2020年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一般公共预算拨款基本支出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1814.7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1814.7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新组建成立单位。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其他市场监督管理事务35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一般公共服务（类）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行政运行1814.7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一般公共服务（类）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市场主体管理2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市场监督管理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事务（款）行政运行（项）: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1814.7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1814.7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新组建成立单位。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市场监督管理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事务（款）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市场主体管理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新组建成立单位。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市场监督管理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事务（款）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其他市场监督管理事务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新组建成立单位。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     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1684.46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万元，主要包括：基本工资、津贴补贴、奖金、机关事业单位基本养老保险缴费、其他社会保障缴费、住房公积金、离休费、退休费、生活补助、奖励金、其他对个人和家庭的补助。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130.24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万元，主要包括：办公费、取暖费、差旅费、维修（护）费、劳务费、工会经费、福利费、公务用车运行维护费、其他商品和服务支出。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克州市场监督管理局2020年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项目支出情况说明</w:t>
      </w:r>
    </w:p>
    <w:p>
      <w:pPr>
        <w:spacing w:line="56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群众工作经费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财政要求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财政授权支付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大村15万元（3个），小村5万元（1个），第一书记工作经费2万元（4个）。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2020年1月1日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联建工作经费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财政要求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财政授权支付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大村10万元（3个），小村5万元（1个）。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2020年1月1日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320" w:firstLineChars="1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价格监督专项业务经费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工作需要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财政授权支付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2020年1月1日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克州市场监督管理局2020年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克州市场监督管理局2020年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21.84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2020年未安排预算；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公务用车购置费为0，未安排预算；公务用车运行费增加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21.84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新组建成立单位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2020年未安排预算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克州市场监督管理局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99.84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99.84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新组建成立单位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及下属单位政府采购预算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178.84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83.1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130.84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110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30304.96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935.95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261.03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698.09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安排购置50万元以上大型设备，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安排购置单位价值100万元以上大型设备。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克州市场监督管理局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群众工作经费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　确保开展群众工作正常开展；通过积极开展群众工作，深入基层，帮助群众解决实际困难，宣传国家相关政策及法律法规，宣传党的十九大精神，维护社会稳定和长治久安、给群众办好事，办实事，给农村居民带来实惠。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１为民办实事经费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58万元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指标 １开始时间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２结束时间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指标 １办理实事好事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≧30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指标 ２各类活动、宣传教育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≧30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指标 １提升村干部工作效率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指标 １营造一个欢乐祥和的生活环境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村民精神面貌得到焕然一新的改变，增加农民的幸福感。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25"/>
                <w:lang w:val="en-US" w:eastAsia="zh-CN" w:bidi="ar"/>
              </w:rPr>
              <w:t>指标</w:t>
            </w:r>
            <w:r>
              <w:rPr>
                <w:rStyle w:val="2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１村委会干部及双联户长受益人数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至少50人收益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  <w:r>
              <w:rPr>
                <w:rStyle w:val="2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27"/>
                <w:lang w:val="en-US" w:eastAsia="zh-CN" w:bidi="ar"/>
              </w:rPr>
              <w:t>２为村民办好事实事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提高农牧民的生产、生活质量，让农牧民感受党的关怀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指标 １群众满意率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center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项  目  支  出  绩  效  目  标  表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ind w:firstLine="630" w:firstLineChars="196"/>
        <w:jc w:val="left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克州市场监督管理局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价格监督专项业务经费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贯彻落实国家、自治区有关价格监督行政执法法律法规；切实做好全州价格监管工作。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１案件办理时限（月）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≤3个月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8"/>
                <w:lang w:val="en-US" w:eastAsia="zh-CN" w:bidi="ar"/>
              </w:rPr>
              <w:t>１执法行动次数（次）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≧30次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２办理案件数（个）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≧3个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１案件办结率（%）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２审限结案率(%)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１挽回经济损失（万元)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指标 １错案率(%)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１执法办案行为投诉率（%）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center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项  目  支  出  绩  效  目  标  表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ind w:firstLine="630" w:firstLineChars="196"/>
        <w:jc w:val="left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克州市场监督管理局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联建工作经费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圆满完成公共安全各项工作任务，积极为农民办实事办好事，顺利开展乡村各项工作，解决农民生活生产等各种困难。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１投入联建工作经费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１ 联建工作项目完成时间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指标１4个村工作人员购置办公用品、车辆燃油等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批次办公用品、2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批次车辆燃油，用于基层工作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１完成联建各项工作任务，为农牧民办实事办好事，解决农民生活生产困难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完成联建各项工作任务，为农牧民办实事办好事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不少于15件.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１联建工作经费经济影响和效果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１项目带来影响的可持续期限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１确保社会稳定长治久安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 １ 群众对联建工作满意度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≧95%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hint="eastAsia" w:ascii="仿宋_GB2312" w:hAnsi="宋体" w:eastAsia="仿宋_GB2312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无其他需说明的事项。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指各部门的公用经费，包括办公费、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劳务费、工会经费、</w:t>
      </w:r>
      <w:r>
        <w:rPr>
          <w:rFonts w:hint="eastAsia" w:ascii="仿宋_GB2312" w:eastAsia="仿宋_GB2312"/>
          <w:sz w:val="32"/>
          <w:szCs w:val="32"/>
        </w:rPr>
        <w:t>差旅费、福利费、日常维修费、办公用房取暖费、公务用车运行维护费及其他费用。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克州市场监督管理局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8170F8"/>
    <w:rsid w:val="009D0AA2"/>
    <w:rsid w:val="00B22D8A"/>
    <w:rsid w:val="00D06D6F"/>
    <w:rsid w:val="00E469CA"/>
    <w:rsid w:val="00E7167C"/>
    <w:rsid w:val="02277F64"/>
    <w:rsid w:val="03302B56"/>
    <w:rsid w:val="06890D65"/>
    <w:rsid w:val="073E0640"/>
    <w:rsid w:val="07A30FD4"/>
    <w:rsid w:val="08515B34"/>
    <w:rsid w:val="098251E7"/>
    <w:rsid w:val="0AA6141A"/>
    <w:rsid w:val="0BD97038"/>
    <w:rsid w:val="0C6F7435"/>
    <w:rsid w:val="0E8C0E7B"/>
    <w:rsid w:val="0F004415"/>
    <w:rsid w:val="0FE05CC3"/>
    <w:rsid w:val="0FFE24B3"/>
    <w:rsid w:val="11027973"/>
    <w:rsid w:val="11707ECD"/>
    <w:rsid w:val="11D37CA9"/>
    <w:rsid w:val="13142D94"/>
    <w:rsid w:val="13906AB5"/>
    <w:rsid w:val="141A1DC4"/>
    <w:rsid w:val="146129FA"/>
    <w:rsid w:val="16114278"/>
    <w:rsid w:val="16697989"/>
    <w:rsid w:val="17656F7B"/>
    <w:rsid w:val="179D383B"/>
    <w:rsid w:val="17D84419"/>
    <w:rsid w:val="181067F8"/>
    <w:rsid w:val="187C7DCB"/>
    <w:rsid w:val="19013CA3"/>
    <w:rsid w:val="19A65376"/>
    <w:rsid w:val="1B5758F5"/>
    <w:rsid w:val="1CF9344D"/>
    <w:rsid w:val="1EE37E24"/>
    <w:rsid w:val="1F334A6D"/>
    <w:rsid w:val="2163217B"/>
    <w:rsid w:val="22011749"/>
    <w:rsid w:val="233B7ED0"/>
    <w:rsid w:val="23825313"/>
    <w:rsid w:val="238D34F3"/>
    <w:rsid w:val="280C3294"/>
    <w:rsid w:val="287F4D2E"/>
    <w:rsid w:val="29144DB1"/>
    <w:rsid w:val="297C64EA"/>
    <w:rsid w:val="2B3E0852"/>
    <w:rsid w:val="2C6605B0"/>
    <w:rsid w:val="2DE356BF"/>
    <w:rsid w:val="322361EE"/>
    <w:rsid w:val="32A73DDF"/>
    <w:rsid w:val="34C16A15"/>
    <w:rsid w:val="383E4DC5"/>
    <w:rsid w:val="39795732"/>
    <w:rsid w:val="3AD06954"/>
    <w:rsid w:val="3CF97AC3"/>
    <w:rsid w:val="3DCB430C"/>
    <w:rsid w:val="4124684C"/>
    <w:rsid w:val="42401BFF"/>
    <w:rsid w:val="44D8045B"/>
    <w:rsid w:val="47DF0C04"/>
    <w:rsid w:val="48473C71"/>
    <w:rsid w:val="493A4C27"/>
    <w:rsid w:val="497A4596"/>
    <w:rsid w:val="49DE0FF9"/>
    <w:rsid w:val="4BE8312B"/>
    <w:rsid w:val="4C8C13E0"/>
    <w:rsid w:val="4E225E03"/>
    <w:rsid w:val="4E811D7E"/>
    <w:rsid w:val="505D3F0E"/>
    <w:rsid w:val="50F0209A"/>
    <w:rsid w:val="544B1235"/>
    <w:rsid w:val="54736387"/>
    <w:rsid w:val="548F2283"/>
    <w:rsid w:val="55165847"/>
    <w:rsid w:val="55A803FF"/>
    <w:rsid w:val="55CA18E9"/>
    <w:rsid w:val="567E6D0D"/>
    <w:rsid w:val="574E3F00"/>
    <w:rsid w:val="58AE79A0"/>
    <w:rsid w:val="58DE3E04"/>
    <w:rsid w:val="59292C27"/>
    <w:rsid w:val="5B736E0F"/>
    <w:rsid w:val="5DE32D01"/>
    <w:rsid w:val="5E11269B"/>
    <w:rsid w:val="5E883E7D"/>
    <w:rsid w:val="5EE91074"/>
    <w:rsid w:val="5F40532E"/>
    <w:rsid w:val="5F595210"/>
    <w:rsid w:val="61017EDF"/>
    <w:rsid w:val="613E5792"/>
    <w:rsid w:val="61D20772"/>
    <w:rsid w:val="63E935EF"/>
    <w:rsid w:val="67E543A5"/>
    <w:rsid w:val="67F3382C"/>
    <w:rsid w:val="6902544B"/>
    <w:rsid w:val="6A566C61"/>
    <w:rsid w:val="6C4476F9"/>
    <w:rsid w:val="6D3B46FA"/>
    <w:rsid w:val="6EFF1F0E"/>
    <w:rsid w:val="6F943978"/>
    <w:rsid w:val="716412C9"/>
    <w:rsid w:val="740F5EB8"/>
    <w:rsid w:val="764E74F8"/>
    <w:rsid w:val="7836682F"/>
    <w:rsid w:val="7A39628B"/>
    <w:rsid w:val="7B744656"/>
    <w:rsid w:val="7B763922"/>
    <w:rsid w:val="7B7639D1"/>
    <w:rsid w:val="7B843F49"/>
    <w:rsid w:val="7CF82B66"/>
    <w:rsid w:val="7D502FAD"/>
    <w:rsid w:val="7DF30318"/>
    <w:rsid w:val="7F8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uiPriority w:val="0"/>
  </w:style>
  <w:style w:type="table" w:styleId="11">
    <w:name w:val="Table Grid"/>
    <w:basedOn w:val="10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7"/>
    <w:semiHidden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uiPriority w:val="0"/>
    <w:rPr>
      <w:rFonts w:ascii="Calibri" w:hAnsi="Calibri" w:cs="黑体"/>
      <w:sz w:val="24"/>
    </w:rPr>
  </w:style>
  <w:style w:type="character" w:customStyle="1" w:styleId="25">
    <w:name w:val="font7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31"/>
    <w:basedOn w:val="7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7">
    <w:name w:val="font21"/>
    <w:basedOn w:val="7"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28">
    <w:name w:val="font61"/>
    <w:basedOn w:val="7"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3</TotalTime>
  <ScaleCrop>false</ScaleCrop>
  <LinksUpToDate>false</LinksUpToDate>
  <CharactersWithSpaces>10542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2020-01-09T10:17:00Z</cp:lastPrinted>
  <dcterms:modified xsi:type="dcterms:W3CDTF">2020-01-31T03:52:35Z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