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社会保险管理局2020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克州社会保险管理局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克州社会保险管理局承担着全州10亿基金及全州70万余人次的五项社会保险（养老保险、医疗保险、工伤保险、生育保险、失业保险）基金的征缴、结算、审核、支付、运行、管理、下解上解分配。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克州社会保险管理局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个处室，分别是：办公室、计财科、社会基金征缴科、社会基金结算科、社会保险稽核科、驻乌鲁木齐工作站、城镇居民医疗保险科、新农保养老科、档案管理科、机关事业单位养老保险科。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504.66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504.66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605.38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534.66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70.72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605.38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605.38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850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0"/>
        <w:gridCol w:w="450"/>
        <w:gridCol w:w="671"/>
        <w:gridCol w:w="870"/>
        <w:gridCol w:w="870"/>
        <w:gridCol w:w="300"/>
        <w:gridCol w:w="300"/>
        <w:gridCol w:w="296"/>
        <w:gridCol w:w="427"/>
        <w:gridCol w:w="590"/>
        <w:gridCol w:w="546"/>
        <w:gridCol w:w="436"/>
        <w:gridCol w:w="687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社会保险经办机构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605.38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504.66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605.38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504.66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70.72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其他人力资源和社会保障管理事务支出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20.62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20.62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社会保险经办机构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854.76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854.76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605.38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584.76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20.62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504.66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504.66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504.66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504.66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504.66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504.66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504.66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克州社会保险管理局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社会保险经办机构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491.26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491.26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其他人力资源和社会保障管理事务支出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504.66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34"/>
        <w:gridCol w:w="2634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克州社会保险管理局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179.51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491.26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31.73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20"/>
        <w:gridCol w:w="450"/>
        <w:gridCol w:w="435"/>
        <w:gridCol w:w="1215"/>
        <w:gridCol w:w="870"/>
        <w:gridCol w:w="750"/>
        <w:gridCol w:w="110"/>
        <w:gridCol w:w="459"/>
        <w:gridCol w:w="781"/>
        <w:gridCol w:w="465"/>
        <w:gridCol w:w="594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克州社会保险管理局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2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其他人力资源和社会保障管理事务支出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电信机房服务费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15.62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15.62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社会保险经办机构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线路租赁费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20.62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20.62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9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克州社会保险管理局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605.38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、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上级补助收入10万元、上级专项收入20万元、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70.72万元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605.38万元。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克州社会保险管理局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605.38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%，比上年减少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458.67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离休人员医疗费今年由财政局做预算，人员减少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上级补助收入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 xml:space="preserve"> %，比上年减少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28.76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万元，主要原因是自治区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根据每年各项业务工作开展需要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，具有不确定因素。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上级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万元，主要原因是自治区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根据每年各项业务工作开展需要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，具有不确定因素。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单位上年结余（不包括国库集中支付额度结余）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万元，主要原是 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主要原因是自治区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根据每年各项业务工作开展需要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kern w:val="0"/>
          <w:sz w:val="32"/>
          <w:szCs w:val="32"/>
        </w:rPr>
        <w:t>，具有不确定因素。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605.38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584.76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432.36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离休人员医疗费2019年由社保部门做预算，2020年此项资金由财政局由预算大盘做，人员减少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万元，主要原因是线路租赁费、机房服务费是延续项目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两个比上年减少一个项目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社会保障经办机构491.26万元、其他人力资源和社会保障管理事务支出13.4万元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457.67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离休人员医疗费今年由财政局做预算，人员减少。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社会保障和就业支出（208）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社会保障和就业支出（208）人力资源和社会保障管理事务（01）社会保险经办机构（09）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:2020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491.26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152.28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23.66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2020年预算中项目少一个，预计2020年自治区专项减少。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社会保障和就业支出（208）人力资源和社会保障管理事务（01）其他人力资源和社会保障管理事务支出（99）2020年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13.4万元，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36.2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72.9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主要原因为2020年自治区专项资金未作预算。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491.26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459.53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179.51万元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46.87万元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33.75万元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13.14万元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</w:t>
      </w:r>
      <w:r>
        <w:rPr>
          <w:rFonts w:hint="eastAsia" w:ascii="仿宋_GB2312" w:hAnsi="黑体" w:eastAsia="仿宋_GB2312"/>
          <w:sz w:val="32"/>
          <w:szCs w:val="32"/>
        </w:rPr>
        <w:t>称：线路租赁费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设立的政策依据：州本级项目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预算安排规模：5万元。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项目承担单位：克州社会保险管理局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资金分配情况：克州社会保险管理局乌市工作站与自治区四家定点医院（自治区中医院、自治区医学院、自治区肿瘤医院、自治区人民医院）联网共四条线路，每条线路每年12,000元，共计50,000元。）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年全年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.项目名称：机房托管服务费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设立的政策依据：州本级项目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预算安排规模：8.4万元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项目承担单位：克州社会保险管理局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资金分配情况：我单位因为原办公楼拆迁，将我局机房所有相关设备搬至电信局机房长期托管，托管费用每年84,000元。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2020年，克州社会保险管理局本级及下属0家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人员减少人头经费减少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克州社会保险管理局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线路租赁费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ascii="??_GB2312" w:hAnsi="宋体" w:eastAsia="Times New Roman" w:cs="宋体"/>
                <w:bCs/>
                <w:kern w:val="0"/>
                <w:sz w:val="18"/>
                <w:szCs w:val="18"/>
              </w:rPr>
              <w:t>克州社会保险管理局乌市工作站与自治区四家定点医院（自治区中医院、自治区医学院、自治区肿瘤医院、自治区人民医院）联网共四条线路，每条线路每年12,000元，共计50,000元。）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网络线路租赁标准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33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信息自动化处理时限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2020年全年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专项网络数量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信息自动化运行保障率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提高工作效率方便群众就医结算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提高工作效率方便群众就医结算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提高工作效率方便群众就医结算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提高工作效率方便群众就医结算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15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tabs>
          <w:tab w:val="left" w:pos="50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克州社会保险管理局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??_GB2312" w:hAnsi="宋体" w:cs="宋体"/>
                <w:kern w:val="0"/>
                <w:sz w:val="18"/>
                <w:szCs w:val="18"/>
              </w:rPr>
              <w:t>机房托管服务费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??_GB2312" w:hAnsi="宋体" w:eastAsia="Times New Roman" w:cs="宋体"/>
                <w:bCs/>
                <w:kern w:val="0"/>
                <w:sz w:val="18"/>
                <w:szCs w:val="18"/>
              </w:rPr>
              <w:t>我单位因为原办公楼拆迁，将我局机房所有相关设备搬至电信局机房长期托管，托管费用每年84,000元。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??_GB2312" w:hAnsi="宋体" w:cs="宋体"/>
                <w:kern w:val="0"/>
                <w:sz w:val="18"/>
                <w:szCs w:val="18"/>
              </w:rPr>
              <w:t>机房托管</w:t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费用标准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33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信息自动化处理时限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2020年全年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托管机组数量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信息自动化保障率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能够保障业务工作正常运行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能够保障业务工作正常运行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保障业务工作运行情况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??_GB2312" w:hAnsi="宋体" w:cs="宋体"/>
                <w:kern w:val="0"/>
                <w:sz w:val="18"/>
                <w:szCs w:val="18"/>
                <w:lang w:val="en-US" w:eastAsia="zh-CN"/>
              </w:rPr>
              <w:t>能够保障业务工作正常运行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15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bidi w:val="0"/>
        <w:jc w:val="left"/>
        <w:rPr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widowControl/>
        <w:spacing w:line="52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克州社会保险管理局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213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73B48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0D6F72"/>
    <w:rsid w:val="095F7D14"/>
    <w:rsid w:val="12C12523"/>
    <w:rsid w:val="16841A37"/>
    <w:rsid w:val="175A1D54"/>
    <w:rsid w:val="20DF799B"/>
    <w:rsid w:val="245D43AA"/>
    <w:rsid w:val="27116447"/>
    <w:rsid w:val="29535198"/>
    <w:rsid w:val="2F9648DD"/>
    <w:rsid w:val="30323D0A"/>
    <w:rsid w:val="32815B82"/>
    <w:rsid w:val="32C30955"/>
    <w:rsid w:val="3AE357D6"/>
    <w:rsid w:val="3B974AB7"/>
    <w:rsid w:val="3C356E51"/>
    <w:rsid w:val="3CD1312C"/>
    <w:rsid w:val="3D1E5FFA"/>
    <w:rsid w:val="3D213E72"/>
    <w:rsid w:val="441560BA"/>
    <w:rsid w:val="47681B96"/>
    <w:rsid w:val="477A747B"/>
    <w:rsid w:val="48C65EF8"/>
    <w:rsid w:val="4BA4158F"/>
    <w:rsid w:val="4E721CF3"/>
    <w:rsid w:val="50087782"/>
    <w:rsid w:val="50525E87"/>
    <w:rsid w:val="52F1733F"/>
    <w:rsid w:val="5307344B"/>
    <w:rsid w:val="53CD13BB"/>
    <w:rsid w:val="586073AF"/>
    <w:rsid w:val="5B331FD3"/>
    <w:rsid w:val="5C92219B"/>
    <w:rsid w:val="5E9C4C6C"/>
    <w:rsid w:val="6220438E"/>
    <w:rsid w:val="698A6A0F"/>
    <w:rsid w:val="6F9D5952"/>
    <w:rsid w:val="760213A4"/>
    <w:rsid w:val="763D4F89"/>
    <w:rsid w:val="7D834A65"/>
    <w:rsid w:val="7EAD6AA7"/>
    <w:rsid w:val="7F4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25</TotalTime>
  <ScaleCrop>false</ScaleCrop>
  <LinksUpToDate>false</LinksUpToDate>
  <CharactersWithSpaces>10542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2021-06-17T02:31:07Z</dcterms:modified>
  <dc:title>附件：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