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水利管理处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克州水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利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管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理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黑体" w:hAnsi="黑体" w:eastAsia="黑体"/>
          <w:kern w:val="0"/>
          <w:sz w:val="32"/>
          <w:szCs w:val="32"/>
        </w:rPr>
        <w:t>部门单位概况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克州水利管理处负责全州水利工程、农牧灌溉区运行管理、综合经营的业务指导和监；负责直管水利工程（阿湖水库管理站、恰河管理站）的防洪、供水、发电、综合经营、日常运行维护的管理事务；负责全州各辖区内各流域分水、调水、年度用水计划的制度与监督实施。指导开展节水技术的试验推广；全州水管人员的技术培训；负责全州灌溉制度、灌溉用水价格调整，水费征收制度的研究和决定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办公室、工程灌溉管理科、综合经营科、水产科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克州水利管理处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292.62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292.62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30.85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327.74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335.54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335.54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335.54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335.54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克州水利管理处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49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8"/>
        <w:gridCol w:w="847"/>
        <w:gridCol w:w="816"/>
        <w:gridCol w:w="816"/>
        <w:gridCol w:w="477"/>
        <w:gridCol w:w="478"/>
        <w:gridCol w:w="478"/>
        <w:gridCol w:w="417"/>
        <w:gridCol w:w="717"/>
        <w:gridCol w:w="434"/>
        <w:gridCol w:w="417"/>
        <w:gridCol w:w="781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2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2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3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2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2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5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水利行业业务管理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277.89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30.85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学前教育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7.80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其他水利支出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335.54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292.69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30.85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克州水利管理处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00"/>
        <w:gridCol w:w="400"/>
        <w:gridCol w:w="2581"/>
        <w:gridCol w:w="1845"/>
        <w:gridCol w:w="1846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学前教育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7.8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7.8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水利行业业务管理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308.74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308.74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0.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其他水利支出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335.54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316.54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克州水利管理处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kern w:val="0"/>
          <w:sz w:val="24"/>
          <w:szCs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292.69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292.69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7.80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7.80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284.89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284.89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292.69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292.69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292.69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克州水利管理处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学前教育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7.80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水利行业业务管理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277.89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277.89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其他水利支出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292.69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285.69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467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16"/>
        <w:gridCol w:w="3081"/>
        <w:gridCol w:w="80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克州水利管理处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9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0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51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0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其他对个人和家庭补助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生活补助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退休费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取暖费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邮电费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94.33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94.33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办公用品及设备采购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其他对个人和家庭补助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奖励金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办公费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公务用车运行维护费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机关事业单位基本养老保险缴费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其他社会保障缴费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奖金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基本工资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工会经费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水费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电费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印刷费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福利费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差旅费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285.69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277.56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8.13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624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506"/>
        <w:gridCol w:w="416"/>
        <w:gridCol w:w="416"/>
        <w:gridCol w:w="851"/>
        <w:gridCol w:w="1097"/>
        <w:gridCol w:w="960"/>
        <w:gridCol w:w="257"/>
        <w:gridCol w:w="298"/>
        <w:gridCol w:w="840"/>
        <w:gridCol w:w="645"/>
        <w:gridCol w:w="516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375" w:hRule="atLeast"/>
        </w:trPr>
        <w:tc>
          <w:tcPr>
            <w:tcW w:w="96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8" w:type="dxa"/>
          <w:trHeight w:val="405" w:hRule="atLeast"/>
        </w:trPr>
        <w:tc>
          <w:tcPr>
            <w:tcW w:w="4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克州水利管理处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5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1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213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其他水利支出</w:t>
            </w:r>
          </w:p>
        </w:tc>
        <w:tc>
          <w:tcPr>
            <w:tcW w:w="1097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群众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工作经费1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7.00</w:t>
            </w:r>
          </w:p>
        </w:tc>
        <w:tc>
          <w:tcPr>
            <w:tcW w:w="55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7.00</w:t>
            </w:r>
          </w:p>
        </w:tc>
        <w:tc>
          <w:tcPr>
            <w:tcW w:w="6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213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shd w:val="clear" w:color="auto" w:fill="auto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03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shd w:val="clear" w:color="auto" w:fill="auto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其他水利支出</w:t>
            </w:r>
          </w:p>
        </w:tc>
        <w:tc>
          <w:tcPr>
            <w:tcW w:w="1097" w:type="dxa"/>
            <w:shd w:val="clear" w:color="auto" w:fill="auto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eastAsia="zh-CN"/>
              </w:rPr>
              <w:t>群众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工作经费2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12.00</w:t>
            </w:r>
          </w:p>
        </w:tc>
        <w:tc>
          <w:tcPr>
            <w:tcW w:w="55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12.00</w:t>
            </w:r>
          </w:p>
        </w:tc>
        <w:tc>
          <w:tcPr>
            <w:tcW w:w="6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6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19.00</w:t>
            </w:r>
          </w:p>
        </w:tc>
        <w:tc>
          <w:tcPr>
            <w:tcW w:w="555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19.00</w:t>
            </w:r>
          </w:p>
        </w:tc>
        <w:tc>
          <w:tcPr>
            <w:tcW w:w="645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克州水利管理处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kern w:val="0"/>
          <w:sz w:val="24"/>
        </w:rPr>
        <w:t xml:space="preserve">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0.50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克州水利管理处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ind w:firstLine="562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故此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表为空表。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335.54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292.69万元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 事业单位经营收入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30.85万元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上级专项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327.74万元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335.54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292.69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2020年群众工作由克州水管处主导，多了群众工作经费，因此一般公共预算资金比2019年多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事业单位经营收入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2020年克州水利管理处预算支出较多，相比2019年，收取管理费更多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上级专项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2019年收入中没有该笔资金，2020年群众工作由克州水管处主导，多了工作经费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335.54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316.54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2019年预算支出当中包含2018年结余结转资金，2020年预算中没有结转资金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75.7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2019年预算支出当中包含2018年结余结转的项目资金，主要为防汛资金22.83万元以及国控二期建设建设资金52.18万元，项目已在2019年完成，2020年项目较少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克州水利管理处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292.69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教育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支教人员生活补助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农林水支出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284.89万元，主要用于支付职工工资、养老、社保、公积金、单位日常公用经费、商品服务支出以及群众工作经费。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285.69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2019年基本支出中包含2018年结转资金多，其中替阿湖水库管理站购买柴油发电机组14.46万元以及其他的补助都是2018年结转资金；二是2019年发放了年终绩效工资22.1万元。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年一般公共预算拨款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7万元，比上年执行数减少121.33万元，下降了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94.55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2019年项目支出中包含2018年结转的防汛项目以及国控二期项目经费，其次是2019年年中追加了公益性人员经费项目100.44万元以及病虫害控制项目5万元。</w:t>
      </w:r>
    </w:p>
    <w:p>
      <w:pPr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</w:t>
      </w:r>
      <w:r>
        <w:rPr>
          <w:rFonts w:hint="eastAsia" w:ascii="仿宋_GB2312" w:eastAsia="仿宋_GB2312"/>
          <w:sz w:val="32"/>
          <w:szCs w:val="32"/>
          <w:lang w:eastAsia="zh-CN"/>
        </w:rPr>
        <w:t>预算农林水支出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285.69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97.34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一般公共</w:t>
      </w:r>
      <w:r>
        <w:rPr>
          <w:rFonts w:hint="eastAsia" w:ascii="仿宋_GB2312" w:eastAsia="仿宋_GB2312"/>
          <w:sz w:val="32"/>
          <w:szCs w:val="32"/>
          <w:lang w:eastAsia="zh-CN"/>
        </w:rPr>
        <w:t>预算教育支出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205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一般公共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预算教育支出（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）普通教育（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）学前教育（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7.8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比上年执行数增加了2.08万元，增长36.36%。主要原因是2020年支教人员比2019年多一人，造成经费增加。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一般公共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预算农林水支出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213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水利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03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水利行业业务管理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04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277.89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142.48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33.89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年在职人员减少一人，工资减少；2019年发放了年终绩效工资22.1万元；2019年支出中包含2018年结转的经费，其中为阿湖水库管理站购买大型柴油发电机费用14.46万元；最后2019年支出中包含年终追加公益性人员经费100.44万元以及病虫害控制经费5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一般公共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预算农林水支出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213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水利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03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其他水利支出（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2020年预算数为19万元，比上年执行数增加3.71万元，增长24.26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%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.主要原因是：2020年其他水利支出资金包含上级专项以及本级财政资金，2019年只有上级专项资金。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285.69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277.56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78.53万元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94.33万元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6.54万元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25.33万元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16.70万元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18.13万元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12.75万元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22.92万元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1.00万元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1.10万元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0.60万元等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自治州州委州政府统一安排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7万元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/年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克州水利管理处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自治州州委州政府统一安排</w:t>
      </w:r>
    </w:p>
    <w:p>
      <w:pPr>
        <w:spacing w:line="560" w:lineRule="exact"/>
        <w:ind w:firstLine="640" w:firstLineChars="200"/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12万元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/年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克州水利管理处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12万元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</w:p>
    <w:p>
      <w:pPr>
        <w:spacing w:line="560" w:lineRule="exact"/>
        <w:ind w:firstLine="640" w:firstLineChars="200"/>
        <w:rPr>
          <w:rFonts w:hint="eastAsia" w:ascii="黑体" w:hAnsi="宋体" w:eastAsia="黑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克州水利管理处2020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万元，其中：因公出国（境）费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主要原因是未安排预算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公务用车购置费增加（减少）0万元，主要原因是未安排预算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增加（减少）0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主要原因是预算安排保持与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上年一致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2020年接待任务少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本级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及下属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行政单位和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事业单位的机关运行经费财政拨款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减少0.36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2019年年初减少1人，公用经费、福利费、工会经费有所减少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部门及下属单位政府采购预算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万元，政府采购工程预算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19.45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19.45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1896.48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107.27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093"/>
        <w:gridCol w:w="980"/>
        <w:gridCol w:w="261"/>
        <w:gridCol w:w="675"/>
        <w:gridCol w:w="235"/>
        <w:gridCol w:w="240"/>
        <w:gridCol w:w="1133"/>
        <w:gridCol w:w="235"/>
        <w:gridCol w:w="672"/>
        <w:gridCol w:w="1232"/>
        <w:gridCol w:w="235"/>
        <w:gridCol w:w="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2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克州水利管理处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3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6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4242" w:type="pct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5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5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64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开展活动</w:t>
            </w: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开展技能培训以及宣传活动</w:t>
            </w: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项目开展周期</w:t>
            </w: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2020.01-2020.12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购买办公用品</w:t>
            </w: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开展技能培训，宣传活动</w:t>
            </w: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贫困村民参加技能培训率</w:t>
            </w: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64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增加村民工作技能</w:t>
            </w: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长期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5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4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村民满意度</w:t>
            </w: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9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71"/>
        <w:gridCol w:w="1049"/>
        <w:gridCol w:w="286"/>
        <w:gridCol w:w="725"/>
        <w:gridCol w:w="236"/>
        <w:gridCol w:w="239"/>
        <w:gridCol w:w="1214"/>
        <w:gridCol w:w="236"/>
        <w:gridCol w:w="719"/>
        <w:gridCol w:w="1326"/>
        <w:gridCol w:w="236"/>
        <w:gridCol w:w="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204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克州水利管理处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2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73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9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4236" w:type="pct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64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为民办实事，解决实际困难</w:t>
            </w: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节假日开展活动以及慰问群众</w:t>
            </w: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项目开展周期</w:t>
            </w: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2020.01-2020.12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为民办实事，解决实际困难</w:t>
            </w: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节假日开展活动以及慰问群众</w:t>
            </w: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困难群众慰问覆盖率</w:t>
            </w: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6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64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实现脱贫群众人数</w:t>
            </w: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1800人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4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群众对工作人员满意度</w:t>
            </w: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6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9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9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 xml:space="preserve">   </w:t>
      </w:r>
    </w:p>
    <w:p>
      <w:pPr>
        <w:widowControl/>
        <w:spacing w:line="52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ind w:firstLine="643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无其他需要说明的事项。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left="6400" w:hanging="6400" w:hangingChars="20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克州水利管理处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</w:t>
      </w:r>
    </w:p>
    <w:p>
      <w:pPr>
        <w:widowControl/>
        <w:spacing w:line="520" w:lineRule="exact"/>
        <w:ind w:left="6386" w:leftChars="2584" w:hanging="960" w:hangingChars="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985" w:right="1531" w:bottom="1843" w:left="1531" w:header="851" w:footer="992" w:gutter="0"/>
      <w:pgNumType w:fmt="numberInDash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47AA6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10F87589"/>
    <w:rsid w:val="20B03760"/>
    <w:rsid w:val="2FB44A0F"/>
    <w:rsid w:val="3E454730"/>
    <w:rsid w:val="456944AE"/>
    <w:rsid w:val="47633060"/>
    <w:rsid w:val="4BA25424"/>
    <w:rsid w:val="4F7930E1"/>
    <w:rsid w:val="57FC5F90"/>
    <w:rsid w:val="58B9382A"/>
    <w:rsid w:val="6A9A4876"/>
    <w:rsid w:val="7B7F6142"/>
    <w:rsid w:val="7CC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2</TotalTime>
  <ScaleCrop>false</ScaleCrop>
  <LinksUpToDate>false</LinksUpToDate>
  <CharactersWithSpaces>10542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2020-11-26T05:55:00Z</cp:lastPrinted>
  <dcterms:modified xsi:type="dcterms:W3CDTF">2020-11-27T04:54:53Z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