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退役军人事务局2020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拟定克州退役军人的思想政治、管理保障等工作政策规定并组织实施，褒扬彰显自治州退役军人为党、国家和人民牺牲奉献的精神风范和价值导向；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负责克州军队转业干部、复员干部、退休干部、退役士兵的移交安置工作和自主择业退役军人服务管理、待遇保障等工作；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（三）组织开展克州退役军人教育培训、优待抚恤等工作；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（四）指导克州拥军僚属工作，负责克州烈士及退役军人荣誉奖励、军人公墓以及纪念活动等工作；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（五）承办克州人民政府交办的其他工作事项。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克州退役军人事务局无下属预算单位，下设2个内设机构 ，分别是：办公室、业务科。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克州退役军人事务局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670.93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670.93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670.93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670.93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670.93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670.93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670.93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" w:hAnsi="仿宋" w:eastAsia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kern w:val="0"/>
          <w:sz w:val="32"/>
          <w:szCs w:val="32"/>
        </w:rPr>
        <w:t>部门收入总体情况表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克州退役军人事务局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10"/>
        <w:tblpPr w:leftFromText="180" w:rightFromText="180" w:vertAnchor="text" w:horzAnchor="page" w:tblpX="952" w:tblpY="356"/>
        <w:tblOverlap w:val="never"/>
        <w:tblW w:w="9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330"/>
        <w:gridCol w:w="820"/>
        <w:gridCol w:w="680"/>
        <w:gridCol w:w="680"/>
        <w:gridCol w:w="680"/>
        <w:gridCol w:w="680"/>
        <w:gridCol w:w="555"/>
        <w:gridCol w:w="467"/>
        <w:gridCol w:w="570"/>
        <w:gridCol w:w="405"/>
        <w:gridCol w:w="660"/>
        <w:gridCol w:w="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其他退役军人事务管理支出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670.93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670.93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670.93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670.93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克州退役军人事务局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其他退役军人事务管理支出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行政运行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660.93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660.93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670.93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660.93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克州退役军人事务局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670.93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670.93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670.93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670.93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670.93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670.93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670.93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40"/>
        <w:gridCol w:w="2387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克州退役军人事务局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其他退役军人事务管理支出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660.93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670.93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46"/>
        <w:gridCol w:w="2622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克州退役军人事务局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30113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30305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30205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30207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30206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30399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30229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30231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30102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30302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30202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30217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30309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30103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资金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30226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30228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30108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30242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660.93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7.12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73"/>
        <w:gridCol w:w="435"/>
        <w:gridCol w:w="402"/>
        <w:gridCol w:w="1158"/>
        <w:gridCol w:w="1020"/>
        <w:gridCol w:w="552"/>
        <w:gridCol w:w="110"/>
        <w:gridCol w:w="568"/>
        <w:gridCol w:w="540"/>
        <w:gridCol w:w="539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克州退役军人事务局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8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15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208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其他退役军人事务管理支出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优质工作经费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克州退役军人事务局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克州退役军人事务局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2"/>
          <w:szCs w:val="2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克州退役军人事务局2020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年没有使用政府性基金预算拨款安排的支出，政府性基金预算支出情况表为空表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670.93万元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670.93万元。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克州退役军人事务局属于新组建单位，无上年预算数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克州退役军人事务局属于新组建单位，无上年预算数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克州退役军人事务局属于新组建单位，无上年预算数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hint="default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670.93万元，主要用于人员经费653.81万元，公用经费7.12万元，优抚工作项目费10万元。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万元，增长（下降）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单位属于新组织单位，无上年预算数。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退役军人管理事务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660.93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</w:t>
      </w:r>
      <w:r>
        <w:rPr>
          <w:rFonts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万元，增长（下降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单位属新组织建单位，无上年预算数。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退役军人管理事务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万元，增长（下降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单位属新组织建单位，无上年预算数。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660.93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653.81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447.73万元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56.46万元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奖励金0.01万元、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13.89万元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50.34万元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10.06万元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生活补助20.03万元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优抚工作经费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开展优抚工作日常开支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10万元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克州退役军人事务局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全年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2020年1-12月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新成立单位，上年无预算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新成立单位，上年无预算，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严格执行中央八项规定，控制公务接待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克州退役军人事务局本级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万元，增长（下降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单位未做预算安排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克州退役军人事务局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优抚工作经费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到县市督导检查优抚工作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使优抚共作有序开展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按时下县市督导工作，使优抚工作顺利完善开展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全年跟进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工作顺利完善，有序开展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2020年1-12月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按时保质保量完成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确保优抚工作有序开展，为部队退役军人提供良好服务平台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确保社会稳定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确保优抚服务得到保障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克州退役军人事务局无其他说明事项。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克州退役军人事务局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E02A40"/>
    <w:multiLevelType w:val="singleLevel"/>
    <w:tmpl w:val="C0E02A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9636A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3AF3EB5"/>
    <w:rsid w:val="086749BA"/>
    <w:rsid w:val="093F3F3F"/>
    <w:rsid w:val="0A737060"/>
    <w:rsid w:val="0AA0105B"/>
    <w:rsid w:val="0DE37E52"/>
    <w:rsid w:val="137C0F48"/>
    <w:rsid w:val="13973BED"/>
    <w:rsid w:val="17E536D9"/>
    <w:rsid w:val="1B862074"/>
    <w:rsid w:val="1F1F6735"/>
    <w:rsid w:val="20F30EC3"/>
    <w:rsid w:val="263637D6"/>
    <w:rsid w:val="27171D50"/>
    <w:rsid w:val="278406E8"/>
    <w:rsid w:val="299D7BDB"/>
    <w:rsid w:val="31320FD0"/>
    <w:rsid w:val="31DF1319"/>
    <w:rsid w:val="336D7F3A"/>
    <w:rsid w:val="36460EC9"/>
    <w:rsid w:val="36A02379"/>
    <w:rsid w:val="37495400"/>
    <w:rsid w:val="37765E02"/>
    <w:rsid w:val="3C415AFD"/>
    <w:rsid w:val="41B55861"/>
    <w:rsid w:val="42551AA1"/>
    <w:rsid w:val="43FA51F7"/>
    <w:rsid w:val="45176489"/>
    <w:rsid w:val="46CE2601"/>
    <w:rsid w:val="48743677"/>
    <w:rsid w:val="4AEC221F"/>
    <w:rsid w:val="4AF4485C"/>
    <w:rsid w:val="4AFA380F"/>
    <w:rsid w:val="4C7473DD"/>
    <w:rsid w:val="4E846597"/>
    <w:rsid w:val="4F0B751F"/>
    <w:rsid w:val="54D8257C"/>
    <w:rsid w:val="5B9A6807"/>
    <w:rsid w:val="5C324644"/>
    <w:rsid w:val="5DF35B41"/>
    <w:rsid w:val="5E0779F0"/>
    <w:rsid w:val="5F2B1E13"/>
    <w:rsid w:val="5F4F6DF1"/>
    <w:rsid w:val="61C04B76"/>
    <w:rsid w:val="650D3281"/>
    <w:rsid w:val="65AD5136"/>
    <w:rsid w:val="66EA1A8E"/>
    <w:rsid w:val="684273DE"/>
    <w:rsid w:val="68AE15E2"/>
    <w:rsid w:val="6BC47B9D"/>
    <w:rsid w:val="700B7E23"/>
    <w:rsid w:val="70E835B9"/>
    <w:rsid w:val="710D2E6E"/>
    <w:rsid w:val="73DB4BD1"/>
    <w:rsid w:val="74FB083C"/>
    <w:rsid w:val="78410D79"/>
    <w:rsid w:val="791C1030"/>
    <w:rsid w:val="7BFB187B"/>
    <w:rsid w:val="7BFF4311"/>
    <w:rsid w:val="7C094B00"/>
    <w:rsid w:val="7C457B45"/>
    <w:rsid w:val="7D210CC5"/>
    <w:rsid w:val="7D8D7534"/>
    <w:rsid w:val="7E8B0041"/>
    <w:rsid w:val="7ED9495A"/>
    <w:rsid w:val="7F8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</TotalTime>
  <ScaleCrop>false</ScaleCrop>
  <LinksUpToDate>false</LinksUpToDate>
  <CharactersWithSpaces>10542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 ﹏〆学荟緈諨</cp:lastModifiedBy>
  <cp:lastPrinted>2020-01-09T10:17:00Z</cp:lastPrinted>
  <dcterms:modified xsi:type="dcterms:W3CDTF">2020-01-21T03:43:49Z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