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党委统战部</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克州党委统战部</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九、关于克州党委统战部20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克州党委统战部</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rPr>
          <w:rFonts w:hint="eastAsia" w:ascii="仿宋_GB2312" w:hAnsi="仿宋" w:eastAsia="仿宋_GB2312"/>
          <w:sz w:val="32"/>
          <w:szCs w:val="32"/>
        </w:rPr>
      </w:pPr>
      <w:r>
        <w:rPr>
          <w:rFonts w:hint="eastAsia" w:ascii="黑体" w:hAnsi="黑体" w:eastAsia="黑体" w:cs="宋体"/>
          <w:bCs/>
          <w:kern w:val="0"/>
          <w:sz w:val="32"/>
          <w:szCs w:val="32"/>
        </w:rPr>
        <w:t xml:space="preserve">   </w:t>
      </w:r>
      <w:r>
        <w:rPr>
          <w:rFonts w:hint="eastAsia" w:ascii="仿宋_GB2312" w:hAnsi="仿宋" w:eastAsia="仿宋_GB2312"/>
          <w:sz w:val="32"/>
          <w:szCs w:val="32"/>
        </w:rPr>
        <w:t>（一）坚持和加强党对统一战线工作的集中统一领导，贯彻落实党中央关于统一战线工作的方针政策和决策部署，贯彻落实自治区、自治州党委关于统一战线工作的部署要求和重大举措，紧紧围绕新疆社会稳定和长治久安总目标，发挥自治州党委在统战工作方面的参谋机构、组织协调机构、具体执行机构、督促检查机构作用，了解情况、掌握政策、协调关系、安排人事、增进共识、加强团结，协调统一战线各方面关系，巩固壮大最广泛的统一战线。</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（二）推动新疆统一战线工作的政策和法律法规的落实，深入调查研究，及时向自治州党委报告统一战线工作情况并提出建议，统筹协调和指导各县（市）各部门各单位统一战线工作。</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负责发现、培养党外代表人士，负责党外人士的政治安排，会同有关部门做好安排党外人士担任政府和司法机关等领导职务的工作，协助自治州工商联做好干部管理工作，反映和协调解决党外代表人士工作生活中的实际困难。</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（四）贯彻落实党的宣传工作方针，统筹推进州内外统一战线宣传工作，拟订统一战线宣传工作政策和规划并组织实施，研判涉及统一战线的舆情并协调有关部门应对处置。</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五）负责联系各民主党派，通报情况、反映意见，贯彻落实中国共产党领导的多党合作和政治协商制度以及对民主党派的方针政策，支持、帮助民主党派加强自身建设，做好支持民主党派履行职能、发挥作用的工作。</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六）贯彻落实党的民族工作方针，研究拟订民族工作政策措施并督促落实，协调处理民族工作中的重大问题，根据分工做好少数民族干部工作，领导自治州民族事务局依法管理民族事务，加强“民族团结一家亲”和民族团结联谊活动的组织协调、调研、指导和督导考核，促进各民族交往交流交融，全面推进民族事业发展。</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七）贯彻落实党中央治疆方略，贯彻落实中央新疆工作办公室工作要求，组织协调和指导各县（市）各部门各单位做好有关工作，促进自治州社会稳定、经济发展、民生改善、民族团结、意识形态领域安全、保护生态环境，实现自治州社会稳定和长治久安。</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（八）贯彻落实党的工作基本方针、政策，研究拟订工作政策措施并督促落实，领导自治州民族事务局，依法管理行政事务，遏制极端，抵御境</w:t>
      </w:r>
      <w:r>
        <w:rPr>
          <w:rFonts w:hint="eastAsia" w:ascii="仿宋_GB2312" w:hAnsi="仿宋" w:eastAsia="仿宋_GB2312"/>
          <w:sz w:val="32"/>
          <w:szCs w:val="32"/>
          <w:lang w:eastAsia="zh-CN"/>
        </w:rPr>
        <w:t>外</w:t>
      </w:r>
      <w:r>
        <w:rPr>
          <w:rFonts w:hint="eastAsia" w:ascii="仿宋_GB2312" w:hAnsi="仿宋" w:eastAsia="仿宋_GB2312"/>
          <w:sz w:val="32"/>
          <w:szCs w:val="32"/>
        </w:rPr>
        <w:t>进行渗透，引导坚持中国化方向，促进与社会主义社会相适应，巩固和发展爱国统一战线。</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九）负责联系、培养无党派代表人士，支持、帮助无党派人士加强自身建设、发挥作用。调查研究党外知识分子和新的社会阶层人士情况并提出政策建议，联系、培养党外知识分子和新的社会阶层代表人士，开展思想政治工作，指导自治州院校、国有企业等有关单位和社会组织开展党外知识分子和新的社会阶层人士统战工作。</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十）参与制定、推动落实鼓励支持引导非公有制经济发展的方针政策，调查研究非公有制经济人士情况并提出政策建议，了解和反映非公有制经济人士的意见，团结、服务、引导、教育非公有制经济人士，促进非公有制经济健康发展和非公有制经济人士健康成长。</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十一）统一领导海外统战工作，牵头开展港澳统战工作，开展对台统战工作。会同有关部门对香港、澳门地区统一战线工作进行调查研究并提出政策建议，联系香港、澳门、台湾有关党派、团体及代表人士，联系海外有关社团及代表人士，做好台胞、台属有关工作。</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十二）统一管理侨务工作，贯彻落实党的侨务工作方针政策，负责拟订侨务工作政策和规划并组织协调、督促检查落实，调查研究国内外侨情和侨务工作情况，管理侨务行政事务，统筹协调有关部门和社会团体涉侨工作，联系海外有关侨团和代表人士，指导推动涉侨宣传、文化交流、华文教育工作等，保护华侨和归侨侨眷在国内的合法权利和权益。</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十三）协助管理各县（市）党委统战部部长。受自治州党委委托，领导自治州工商联党组，指导工商联工作。领导自治州社会主义学院党组，指导自治州社会主义学院工作。管理新疆伊斯兰教经学院克孜勒苏分院。做好统一战线有关单位和团体的管理工作。做好统战系统干部和统一战线成员的教育培训工作。</w:t>
      </w:r>
    </w:p>
    <w:p>
      <w:pPr>
        <w:spacing w:line="560" w:lineRule="exact"/>
        <w:ind w:firstLine="630" w:firstLineChars="197"/>
        <w:rPr>
          <w:rFonts w:ascii="仿宋_GB2312" w:hAnsi="宋体" w:eastAsia="仿宋_GB2312" w:cs="宋体"/>
          <w:bCs/>
          <w:kern w:val="0"/>
          <w:sz w:val="32"/>
          <w:szCs w:val="32"/>
        </w:rPr>
      </w:pPr>
      <w:r>
        <w:rPr>
          <w:rFonts w:hint="eastAsia" w:ascii="仿宋_GB2312" w:hAnsi="仿宋" w:eastAsia="仿宋_GB2312"/>
          <w:sz w:val="32"/>
          <w:szCs w:val="32"/>
        </w:rPr>
        <w:t>（十四）完成自治州党委交办的其他任务。</w:t>
      </w:r>
    </w:p>
    <w:p>
      <w:pPr>
        <w:widowControl/>
        <w:spacing w:line="560" w:lineRule="exact"/>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克州党委统战部无下属预算单位，下设3个科室，分别是：办公室、</w:t>
      </w:r>
      <w:r>
        <w:rPr>
          <w:rFonts w:hint="eastAsia" w:ascii="仿宋_GB2312" w:eastAsia="仿宋_GB2312"/>
          <w:sz w:val="32"/>
          <w:szCs w:val="32"/>
          <w:lang w:eastAsia="zh-CN"/>
        </w:rPr>
        <w:t>民族工作科</w:t>
      </w:r>
      <w:r>
        <w:rPr>
          <w:rFonts w:hint="eastAsia" w:ascii="仿宋_GB2312" w:eastAsia="仿宋_GB2312"/>
          <w:sz w:val="32"/>
          <w:szCs w:val="32"/>
        </w:rPr>
        <w:t>、</w:t>
      </w:r>
      <w:r>
        <w:rPr>
          <w:rFonts w:hint="eastAsia" w:ascii="仿宋_GB2312" w:eastAsia="仿宋_GB2312"/>
          <w:sz w:val="32"/>
          <w:szCs w:val="32"/>
          <w:lang w:eastAsia="zh-CN"/>
        </w:rPr>
        <w:t>台务侨务工作科</w:t>
      </w:r>
      <w:r>
        <w:rPr>
          <w:rFonts w:hint="eastAsia" w:ascii="仿宋_GB2312" w:eastAsia="仿宋_GB2312"/>
          <w:sz w:val="32"/>
          <w:szCs w:val="32"/>
        </w:rPr>
        <w:t>。</w:t>
      </w:r>
    </w:p>
    <w:p>
      <w:pPr>
        <w:widowControl/>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克州党委统战部编制数</w:t>
      </w:r>
      <w:r>
        <w:rPr>
          <w:rFonts w:hint="eastAsia" w:ascii="仿宋_GB2312" w:eastAsia="仿宋_GB2312"/>
          <w:sz w:val="32"/>
          <w:szCs w:val="32"/>
          <w:lang w:val="en-US" w:eastAsia="zh-CN"/>
        </w:rPr>
        <w:t>13</w:t>
      </w:r>
      <w:r>
        <w:rPr>
          <w:rFonts w:hint="eastAsia" w:ascii="仿宋_GB2312" w:eastAsia="仿宋_GB2312"/>
          <w:sz w:val="32"/>
          <w:szCs w:val="32"/>
        </w:rPr>
        <w:t>，实有人数</w:t>
      </w:r>
      <w:r>
        <w:rPr>
          <w:rFonts w:hint="eastAsia" w:ascii="仿宋_GB2312" w:eastAsia="仿宋_GB2312"/>
          <w:sz w:val="32"/>
          <w:szCs w:val="32"/>
          <w:lang w:val="en-US" w:eastAsia="zh-CN"/>
        </w:rPr>
        <w:t>10</w:t>
      </w:r>
      <w:r>
        <w:rPr>
          <w:rFonts w:hint="eastAsia" w:ascii="仿宋_GB2312" w:eastAsia="仿宋_GB2312"/>
          <w:sz w:val="32"/>
          <w:szCs w:val="32"/>
        </w:rPr>
        <w:t>人，其中：在职</w:t>
      </w:r>
      <w:r>
        <w:rPr>
          <w:rFonts w:hint="eastAsia" w:ascii="仿宋_GB2312" w:eastAsia="仿宋_GB2312"/>
          <w:sz w:val="32"/>
          <w:szCs w:val="32"/>
          <w:lang w:val="en-US" w:eastAsia="zh-CN"/>
        </w:rPr>
        <w:t>10</w:t>
      </w:r>
      <w:r>
        <w:rPr>
          <w:rFonts w:hint="eastAsia" w:ascii="仿宋_GB2312" w:eastAsia="仿宋_GB2312"/>
          <w:sz w:val="32"/>
          <w:szCs w:val="32"/>
        </w:rPr>
        <w:t>人，</w:t>
      </w:r>
      <w:r>
        <w:rPr>
          <w:rFonts w:hint="eastAsia" w:ascii="仿宋_GB2312" w:eastAsia="仿宋_GB2312"/>
          <w:sz w:val="32"/>
          <w:szCs w:val="32"/>
          <w:lang w:eastAsia="zh-CN"/>
        </w:rPr>
        <w:t>增加</w:t>
      </w:r>
      <w:r>
        <w:rPr>
          <w:rFonts w:hint="eastAsia" w:ascii="仿宋_GB2312" w:eastAsia="仿宋_GB2312"/>
          <w:sz w:val="32"/>
          <w:szCs w:val="32"/>
          <w:lang w:val="en-US" w:eastAsia="zh-CN"/>
        </w:rPr>
        <w:t>2</w:t>
      </w:r>
      <w:r>
        <w:rPr>
          <w:rFonts w:hint="eastAsia" w:ascii="仿宋_GB2312" w:eastAsia="仿宋_GB2312"/>
          <w:sz w:val="32"/>
          <w:szCs w:val="32"/>
        </w:rPr>
        <w:t>人；退休6人，增加或减少0人；离休0人，增加或减少0人。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174.07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179.77</w:t>
            </w: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174.07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174.07</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179.77</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180" w:firstLineChars="10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5.70</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179.77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179.77</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                                                      单位：万元</w:t>
      </w:r>
    </w:p>
    <w:tbl>
      <w:tblPr>
        <w:tblStyle w:val="7"/>
        <w:tblW w:w="10060" w:type="dxa"/>
        <w:tblInd w:w="-450" w:type="dxa"/>
        <w:tblLayout w:type="fixed"/>
        <w:tblCellMar>
          <w:top w:w="0" w:type="dxa"/>
          <w:left w:w="108" w:type="dxa"/>
          <w:bottom w:w="0" w:type="dxa"/>
          <w:right w:w="108" w:type="dxa"/>
        </w:tblCellMar>
      </w:tblPr>
      <w:tblGrid>
        <w:gridCol w:w="471"/>
        <w:gridCol w:w="381"/>
        <w:gridCol w:w="381"/>
        <w:gridCol w:w="1034"/>
        <w:gridCol w:w="750"/>
        <w:gridCol w:w="746"/>
        <w:gridCol w:w="621"/>
        <w:gridCol w:w="621"/>
        <w:gridCol w:w="620"/>
        <w:gridCol w:w="473"/>
        <w:gridCol w:w="700"/>
        <w:gridCol w:w="649"/>
        <w:gridCol w:w="380"/>
        <w:gridCol w:w="953"/>
        <w:gridCol w:w="1280"/>
      </w:tblGrid>
      <w:tr>
        <w:tblPrEx>
          <w:tblCellMar>
            <w:top w:w="0" w:type="dxa"/>
            <w:left w:w="108" w:type="dxa"/>
            <w:bottom w:w="0" w:type="dxa"/>
            <w:right w:w="108" w:type="dxa"/>
          </w:tblCellMar>
        </w:tblPrEx>
        <w:trPr>
          <w:trHeight w:val="519" w:hRule="atLeast"/>
        </w:trPr>
        <w:tc>
          <w:tcPr>
            <w:tcW w:w="12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0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73"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380"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9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764"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0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73"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0"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95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519"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color w:val="000000"/>
                <w:sz w:val="22"/>
                <w:szCs w:val="22"/>
              </w:rPr>
            </w:pPr>
            <w:r>
              <w:rPr>
                <w:rFonts w:hint="eastAsia" w:ascii="仿宋_GB2312" w:eastAsia="仿宋_GB2312"/>
                <w:color w:val="000000"/>
                <w:sz w:val="20"/>
                <w:szCs w:val="20"/>
                <w:lang w:eastAsia="zh-CN"/>
              </w:rPr>
              <w:t>其他统战事务支出</w:t>
            </w: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lang w:val="en-US" w:eastAsia="zh-CN"/>
              </w:rPr>
              <w:t>21.25</w:t>
            </w: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lang w:val="en-US" w:eastAsia="zh-CN"/>
              </w:rPr>
              <w:t>16.40</w:t>
            </w: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shd w:val="clear" w:color="000000" w:fill="FFFFFF"/>
            <w:vAlign w:val="top"/>
          </w:tcPr>
          <w:p>
            <w:pPr>
              <w:jc w:val="right"/>
              <w:rPr>
                <w:rFonts w:hint="eastAsia" w:ascii="宋体" w:hAnsi="宋体" w:eastAsia="宋体" w:cs="宋体"/>
                <w:b/>
                <w:bCs/>
                <w:color w:val="000000"/>
                <w:sz w:val="22"/>
                <w:szCs w:val="22"/>
              </w:rPr>
            </w:pPr>
          </w:p>
        </w:tc>
        <w:tc>
          <w:tcPr>
            <w:tcW w:w="700" w:type="dxa"/>
            <w:tcBorders>
              <w:top w:val="nil"/>
              <w:left w:val="single" w:color="auto" w:sz="4" w:space="0"/>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shd w:val="clear" w:color="000000" w:fill="FFFFFF"/>
            <w:vAlign w:val="top"/>
          </w:tcPr>
          <w:p>
            <w:pPr>
              <w:jc w:val="right"/>
              <w:rPr>
                <w:rFonts w:hint="eastAsia" w:ascii="宋体" w:hAnsi="宋体" w:eastAsia="宋体" w:cs="宋体"/>
                <w:b/>
                <w:bCs/>
                <w:color w:val="000000"/>
                <w:sz w:val="22"/>
                <w:szCs w:val="22"/>
              </w:rPr>
            </w:pPr>
          </w:p>
        </w:tc>
        <w:tc>
          <w:tcPr>
            <w:tcW w:w="953" w:type="dxa"/>
            <w:tcBorders>
              <w:top w:val="nil"/>
              <w:left w:val="single" w:color="auto" w:sz="4" w:space="0"/>
              <w:bottom w:val="single" w:color="auto" w:sz="4" w:space="0"/>
              <w:right w:val="single" w:color="auto" w:sz="4" w:space="0"/>
            </w:tcBorders>
            <w:shd w:val="clear" w:color="000000" w:fill="FFFFFF"/>
            <w:noWrap/>
            <w:vAlign w:val="center"/>
          </w:tcPr>
          <w:p>
            <w:pPr>
              <w:jc w:val="right"/>
              <w:rPr>
                <w:rFonts w:hint="eastAsia" w:ascii="宋体" w:hAnsi="宋体" w:eastAsia="宋体" w:cs="宋体"/>
                <w:b/>
                <w:bCs/>
                <w:color w:val="000000"/>
                <w:sz w:val="22"/>
                <w:szCs w:val="22"/>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000000" w:fill="FFFFFF"/>
            <w:noWrap/>
            <w:vAlign w:val="center"/>
          </w:tcPr>
          <w:p>
            <w:pPr>
              <w:ind w:right="400" w:rightChars="0"/>
              <w:rPr>
                <w:rFonts w:hint="eastAsia" w:ascii="宋体" w:hAnsi="宋体" w:eastAsia="宋体" w:cs="宋体"/>
                <w:b/>
                <w:bCs/>
                <w:color w:val="000000"/>
                <w:sz w:val="22"/>
                <w:szCs w:val="22"/>
                <w:lang w:val="en-US" w:eastAsia="zh-CN"/>
              </w:rPr>
            </w:pPr>
            <w:r>
              <w:rPr>
                <w:rFonts w:hint="eastAsia" w:ascii="仿宋_GB2312" w:hAnsi="宋体" w:eastAsia="仿宋_GB2312" w:cs="宋体"/>
                <w:color w:val="000000"/>
                <w:sz w:val="20"/>
                <w:szCs w:val="20"/>
                <w:lang w:val="en-US" w:eastAsia="zh-CN"/>
              </w:rPr>
              <w:t>4.85</w:t>
            </w:r>
          </w:p>
        </w:tc>
      </w:tr>
      <w:tr>
        <w:tblPrEx>
          <w:tblCellMar>
            <w:top w:w="0" w:type="dxa"/>
            <w:left w:w="108" w:type="dxa"/>
            <w:bottom w:w="0" w:type="dxa"/>
            <w:right w:w="108" w:type="dxa"/>
          </w:tblCellMar>
        </w:tblPrEx>
        <w:trPr>
          <w:trHeight w:val="7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eastAsia="zh-CN"/>
              </w:rPr>
              <w:t>行政运行（统战事务）</w:t>
            </w: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158.52</w:t>
            </w: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157.67</w:t>
            </w: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ightChars="0"/>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0.85</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vAlign w:val="top"/>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ightChars="0"/>
              <w:rPr>
                <w:rFonts w:hint="default" w:ascii="仿宋_GB2312" w:hAnsi="宋体" w:eastAsia="仿宋_GB2312" w:cs="宋体"/>
                <w:color w:val="000000"/>
                <w:sz w:val="20"/>
                <w:szCs w:val="20"/>
                <w:lang w:val="en-US" w:eastAsia="zh-CN"/>
              </w:rPr>
            </w:pP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7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0"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2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2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73"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4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380"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537"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03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7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179.77</w:t>
            </w:r>
          </w:p>
        </w:tc>
        <w:tc>
          <w:tcPr>
            <w:tcW w:w="74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174.07</w:t>
            </w:r>
          </w:p>
        </w:tc>
        <w:tc>
          <w:tcPr>
            <w:tcW w:w="62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2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73"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4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380"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95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80" w:type="dxa"/>
            <w:tcBorders>
              <w:top w:val="nil"/>
              <w:left w:val="nil"/>
              <w:bottom w:val="single" w:color="auto" w:sz="4" w:space="0"/>
              <w:right w:val="single" w:color="auto" w:sz="4" w:space="0"/>
            </w:tcBorders>
            <w:shd w:val="clear" w:color="auto" w:fill="auto"/>
            <w:vAlign w:val="center"/>
          </w:tcPr>
          <w:p>
            <w:pPr>
              <w:ind w:right="400"/>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5.70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单位：万元</w:t>
      </w:r>
    </w:p>
    <w:tbl>
      <w:tblPr>
        <w:tblStyle w:val="7"/>
        <w:tblW w:w="9420" w:type="dxa"/>
        <w:tblInd w:w="-240" w:type="dxa"/>
        <w:tblLayout w:type="fixed"/>
        <w:tblCellMar>
          <w:top w:w="0" w:type="dxa"/>
          <w:left w:w="108" w:type="dxa"/>
          <w:bottom w:w="0" w:type="dxa"/>
          <w:right w:w="108" w:type="dxa"/>
        </w:tblCellMar>
      </w:tblPr>
      <w:tblGrid>
        <w:gridCol w:w="516"/>
        <w:gridCol w:w="416"/>
        <w:gridCol w:w="416"/>
        <w:gridCol w:w="2545"/>
        <w:gridCol w:w="1828"/>
        <w:gridCol w:w="1828"/>
        <w:gridCol w:w="1871"/>
      </w:tblGrid>
      <w:tr>
        <w:tblPrEx>
          <w:tblCellMar>
            <w:top w:w="0" w:type="dxa"/>
            <w:left w:w="108" w:type="dxa"/>
            <w:bottom w:w="0" w:type="dxa"/>
            <w:right w:w="108" w:type="dxa"/>
          </w:tblCellMar>
        </w:tblPrEx>
        <w:trPr>
          <w:trHeight w:val="345" w:hRule="atLeast"/>
        </w:trPr>
        <w:tc>
          <w:tcPr>
            <w:tcW w:w="38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254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lang w:eastAsia="zh-CN"/>
              </w:rPr>
              <w:t>其他统战事务支出</w:t>
            </w:r>
            <w:r>
              <w:rPr>
                <w:rFonts w:hint="eastAsia" w:ascii="仿宋_GB2312" w:eastAsia="仿宋_GB2312"/>
                <w:color w:val="000000"/>
                <w:sz w:val="20"/>
                <w:szCs w:val="20"/>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val="0"/>
                <w:bCs w:val="0"/>
                <w:color w:val="000000"/>
                <w:kern w:val="0"/>
                <w:sz w:val="22"/>
                <w:szCs w:val="22"/>
              </w:rPr>
              <w:t>　</w:t>
            </w:r>
            <w:r>
              <w:rPr>
                <w:rFonts w:hint="eastAsia" w:ascii="宋体" w:hAnsi="宋体" w:cs="宋体"/>
                <w:b w:val="0"/>
                <w:bCs w:val="0"/>
                <w:color w:val="000000"/>
                <w:kern w:val="0"/>
                <w:sz w:val="22"/>
                <w:szCs w:val="22"/>
                <w:lang w:val="en-US" w:eastAsia="zh-CN"/>
              </w:rPr>
              <w:t>21.25</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val="0"/>
                <w:bCs w:val="0"/>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val="0"/>
                <w:bCs w:val="0"/>
                <w:color w:val="000000"/>
                <w:kern w:val="0"/>
                <w:sz w:val="22"/>
                <w:szCs w:val="22"/>
              </w:rPr>
              <w:t>　</w:t>
            </w:r>
            <w:r>
              <w:rPr>
                <w:rFonts w:hint="eastAsia" w:ascii="宋体" w:hAnsi="宋体" w:cs="宋体"/>
                <w:b w:val="0"/>
                <w:bCs w:val="0"/>
                <w:color w:val="000000"/>
                <w:kern w:val="0"/>
                <w:sz w:val="22"/>
                <w:szCs w:val="22"/>
                <w:lang w:val="en-US" w:eastAsia="zh-CN"/>
              </w:rPr>
              <w:t>21.25</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16"/>
                <w:szCs w:val="16"/>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254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lang w:eastAsia="zh-CN"/>
              </w:rPr>
              <w:t>行政运行（统战事务）</w:t>
            </w:r>
            <w:r>
              <w:rPr>
                <w:rFonts w:hint="eastAsia" w:ascii="仿宋_GB2312" w:eastAsia="仿宋_GB2312"/>
                <w:color w:val="000000"/>
                <w:sz w:val="20"/>
                <w:szCs w:val="20"/>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158.52</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r>
              <w:rPr>
                <w:rFonts w:hint="eastAsia" w:ascii="宋体" w:hAnsi="宋体" w:cs="宋体"/>
                <w:b w:val="0"/>
                <w:bCs w:val="0"/>
                <w:color w:val="000000"/>
                <w:kern w:val="0"/>
                <w:sz w:val="22"/>
                <w:szCs w:val="22"/>
                <w:lang w:val="en-US" w:eastAsia="zh-CN"/>
              </w:rPr>
              <w:t>158.52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2"/>
                <w:szCs w:val="22"/>
                <w:lang w:val="en-US" w:eastAsia="zh-CN"/>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179.77</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158.52</w:t>
            </w:r>
          </w:p>
        </w:tc>
        <w:tc>
          <w:tcPr>
            <w:tcW w:w="187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21.25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174.07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174.07</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174.07</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174.07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174.07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174.07</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174.07</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lang w:eastAsia="zh-CN"/>
              </w:rPr>
              <w:t>其他统战事务支出</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宋体" w:hAnsi="宋体" w:cs="宋体"/>
                <w:b w:val="0"/>
                <w:bCs w:val="0"/>
                <w:color w:val="000000"/>
                <w:kern w:val="0"/>
                <w:sz w:val="22"/>
                <w:szCs w:val="22"/>
                <w:lang w:val="en-US" w:eastAsia="zh-CN"/>
              </w:rPr>
              <w:t>16.40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宋体" w:hAnsi="宋体" w:cs="宋体"/>
                <w:b w:val="0"/>
                <w:bCs w:val="0"/>
                <w:color w:val="000000"/>
                <w:kern w:val="0"/>
                <w:sz w:val="22"/>
                <w:szCs w:val="22"/>
                <w:lang w:val="en-US" w:eastAsia="zh-CN"/>
              </w:rPr>
              <w:t>16.40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lang w:eastAsia="zh-CN"/>
              </w:rPr>
              <w:t>行政运行（统战事务）</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b w:val="0"/>
                <w:bCs w:val="0"/>
                <w:color w:val="000000"/>
                <w:kern w:val="0"/>
                <w:sz w:val="22"/>
                <w:szCs w:val="22"/>
                <w:lang w:val="en-US" w:eastAsia="zh-CN"/>
              </w:rPr>
              <w:t>157.67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val="0"/>
                <w:bCs w:val="0"/>
                <w:color w:val="000000"/>
                <w:kern w:val="0"/>
                <w:sz w:val="22"/>
                <w:szCs w:val="22"/>
                <w:lang w:val="en-US" w:eastAsia="zh-CN"/>
              </w:rPr>
              <w:t>157.67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174.07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157.67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16.40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67" w:type="dxa"/>
        <w:tblInd w:w="-148" w:type="dxa"/>
        <w:tblLayout w:type="fixed"/>
        <w:tblCellMar>
          <w:top w:w="0" w:type="dxa"/>
          <w:left w:w="108" w:type="dxa"/>
          <w:bottom w:w="0" w:type="dxa"/>
          <w:right w:w="108" w:type="dxa"/>
        </w:tblCellMar>
      </w:tblPr>
      <w:tblGrid>
        <w:gridCol w:w="757"/>
        <w:gridCol w:w="71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both"/>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3.78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10.72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6.51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14.88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57.19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57.19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0.64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45.35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0.80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301</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11.33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11.33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157.67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149.87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793" w:type="dxa"/>
        <w:tblInd w:w="-360" w:type="dxa"/>
        <w:tblLayout w:type="fixed"/>
        <w:tblCellMar>
          <w:top w:w="0" w:type="dxa"/>
          <w:left w:w="108" w:type="dxa"/>
          <w:bottom w:w="0" w:type="dxa"/>
          <w:right w:w="108" w:type="dxa"/>
        </w:tblCellMar>
      </w:tblPr>
      <w:tblGrid>
        <w:gridCol w:w="10"/>
        <w:gridCol w:w="506"/>
        <w:gridCol w:w="416"/>
        <w:gridCol w:w="416"/>
        <w:gridCol w:w="851"/>
        <w:gridCol w:w="1456"/>
        <w:gridCol w:w="766"/>
        <w:gridCol w:w="97"/>
        <w:gridCol w:w="393"/>
        <w:gridCol w:w="76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0" w:type="dxa"/>
          <w:wAfter w:w="8" w:type="dxa"/>
          <w:trHeight w:val="375" w:hRule="atLeast"/>
        </w:trPr>
        <w:tc>
          <w:tcPr>
            <w:tcW w:w="9775"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0" w:type="dxa"/>
          <w:wAfter w:w="8" w:type="dxa"/>
          <w:trHeight w:val="405" w:hRule="atLeast"/>
        </w:trPr>
        <w:tc>
          <w:tcPr>
            <w:tcW w:w="4508"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p>
        </w:tc>
        <w:tc>
          <w:tcPr>
            <w:tcW w:w="1159"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6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90"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6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6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9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6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851" w:type="dxa"/>
            <w:shd w:val="clear" w:color="auto" w:fill="auto"/>
            <w:vAlign w:val="center"/>
          </w:tcPr>
          <w:p>
            <w:pPr>
              <w:jc w:val="center"/>
              <w:rPr>
                <w:rFonts w:ascii="仿宋_GB2312" w:hAnsi="宋体" w:eastAsia="仿宋_GB2312"/>
                <w:kern w:val="0"/>
                <w:sz w:val="32"/>
                <w:szCs w:val="32"/>
              </w:rPr>
            </w:pPr>
            <w:r>
              <w:rPr>
                <w:rFonts w:hint="eastAsia" w:ascii="仿宋_GB2312" w:eastAsia="仿宋_GB2312"/>
                <w:color w:val="000000"/>
                <w:sz w:val="20"/>
                <w:szCs w:val="20"/>
                <w:lang w:eastAsia="zh-CN"/>
              </w:rPr>
              <w:t>其他统战事务支出</w:t>
            </w:r>
            <w:r>
              <w:rPr>
                <w:rFonts w:hint="eastAsia" w:ascii="仿宋_GB2312" w:eastAsia="仿宋_GB2312"/>
                <w:color w:val="000000"/>
                <w:sz w:val="20"/>
                <w:szCs w:val="20"/>
              </w:rPr>
              <w:t>　</w:t>
            </w:r>
          </w:p>
        </w:tc>
        <w:tc>
          <w:tcPr>
            <w:tcW w:w="145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eastAsia="zh-CN"/>
              </w:rPr>
              <w:t>情报信息费</w:t>
            </w:r>
            <w:r>
              <w:rPr>
                <w:rFonts w:hint="eastAsia" w:ascii="仿宋_GB2312" w:eastAsia="仿宋_GB2312"/>
                <w:color w:val="000000"/>
                <w:sz w:val="20"/>
                <w:szCs w:val="20"/>
              </w:rPr>
              <w:t>　</w:t>
            </w:r>
          </w:p>
        </w:tc>
        <w:tc>
          <w:tcPr>
            <w:tcW w:w="766" w:type="dxa"/>
            <w:shd w:val="clear" w:color="auto" w:fill="auto"/>
          </w:tcPr>
          <w:p>
            <w:pPr>
              <w:widowControl/>
              <w:jc w:val="left"/>
              <w:outlineLvl w:val="1"/>
              <w:rPr>
                <w:rFonts w:hint="default"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7.72</w:t>
            </w:r>
          </w:p>
        </w:tc>
        <w:tc>
          <w:tcPr>
            <w:tcW w:w="490" w:type="dxa"/>
            <w:gridSpan w:val="2"/>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p>
        </w:tc>
        <w:tc>
          <w:tcPr>
            <w:tcW w:w="766" w:type="dxa"/>
            <w:shd w:val="clear" w:color="auto" w:fill="auto"/>
            <w:vAlign w:val="top"/>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lang w:val="en-US" w:eastAsia="zh-CN"/>
              </w:rPr>
              <w:t>7.72</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41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34</w:t>
            </w:r>
            <w:r>
              <w:rPr>
                <w:rFonts w:hint="eastAsia" w:ascii="仿宋_GB2312" w:eastAsia="仿宋_GB2312"/>
                <w:color w:val="000000"/>
                <w:sz w:val="20"/>
                <w:szCs w:val="20"/>
              </w:rPr>
              <w:t>　</w:t>
            </w:r>
          </w:p>
        </w:tc>
        <w:tc>
          <w:tcPr>
            <w:tcW w:w="41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val="en-US" w:eastAsia="zh-CN"/>
              </w:rPr>
              <w:t>99</w:t>
            </w:r>
            <w:r>
              <w:rPr>
                <w:rFonts w:hint="eastAsia" w:ascii="仿宋_GB2312" w:eastAsia="仿宋_GB2312"/>
                <w:color w:val="000000"/>
                <w:sz w:val="20"/>
                <w:szCs w:val="20"/>
              </w:rPr>
              <w:t>　</w:t>
            </w:r>
          </w:p>
        </w:tc>
        <w:tc>
          <w:tcPr>
            <w:tcW w:w="851" w:type="dxa"/>
            <w:shd w:val="clear" w:color="auto" w:fill="auto"/>
            <w:vAlign w:val="center"/>
          </w:tcPr>
          <w:p>
            <w:pPr>
              <w:jc w:val="center"/>
              <w:rPr>
                <w:rFonts w:ascii="仿宋_GB2312" w:hAnsi="宋体" w:eastAsia="仿宋_GB2312"/>
                <w:kern w:val="0"/>
                <w:sz w:val="32"/>
                <w:szCs w:val="32"/>
              </w:rPr>
            </w:pPr>
            <w:r>
              <w:rPr>
                <w:rFonts w:hint="eastAsia" w:ascii="仿宋_GB2312" w:eastAsia="仿宋_GB2312"/>
                <w:color w:val="000000"/>
                <w:sz w:val="20"/>
                <w:szCs w:val="20"/>
                <w:lang w:eastAsia="zh-CN"/>
              </w:rPr>
              <w:t>其他统战事务支出</w:t>
            </w:r>
            <w:r>
              <w:rPr>
                <w:rFonts w:hint="eastAsia" w:ascii="仿宋_GB2312" w:eastAsia="仿宋_GB2312"/>
                <w:color w:val="000000"/>
                <w:sz w:val="20"/>
                <w:szCs w:val="20"/>
              </w:rPr>
              <w:t>　</w:t>
            </w:r>
          </w:p>
        </w:tc>
        <w:tc>
          <w:tcPr>
            <w:tcW w:w="1456" w:type="dxa"/>
            <w:shd w:val="clear" w:color="auto" w:fill="auto"/>
            <w:vAlign w:val="center"/>
          </w:tcPr>
          <w:p>
            <w:pPr>
              <w:jc w:val="right"/>
              <w:rPr>
                <w:rFonts w:ascii="仿宋_GB2312" w:hAnsi="宋体" w:eastAsia="仿宋_GB2312"/>
                <w:kern w:val="0"/>
                <w:sz w:val="32"/>
                <w:szCs w:val="32"/>
              </w:rPr>
            </w:pPr>
            <w:r>
              <w:rPr>
                <w:rFonts w:hint="eastAsia" w:ascii="仿宋_GB2312" w:eastAsia="仿宋_GB2312"/>
                <w:color w:val="000000"/>
                <w:sz w:val="20"/>
                <w:szCs w:val="20"/>
                <w:lang w:eastAsia="zh-CN"/>
              </w:rPr>
              <w:t>自治州培训费</w:t>
            </w:r>
            <w:r>
              <w:rPr>
                <w:rFonts w:hint="eastAsia" w:ascii="仿宋_GB2312" w:eastAsia="仿宋_GB2312"/>
                <w:color w:val="000000"/>
                <w:sz w:val="20"/>
                <w:szCs w:val="20"/>
              </w:rPr>
              <w:t>　</w:t>
            </w:r>
          </w:p>
        </w:tc>
        <w:tc>
          <w:tcPr>
            <w:tcW w:w="766" w:type="dxa"/>
            <w:shd w:val="clear" w:color="auto" w:fill="auto"/>
          </w:tcPr>
          <w:p>
            <w:pPr>
              <w:widowControl/>
              <w:jc w:val="left"/>
              <w:outlineLvl w:val="1"/>
              <w:rPr>
                <w:rFonts w:hint="default" w:ascii="仿宋_GB2312" w:hAnsi="宋体" w:eastAsia="仿宋_GB2312"/>
                <w:kern w:val="0"/>
                <w:sz w:val="22"/>
                <w:szCs w:val="22"/>
                <w:lang w:val="en-US" w:eastAsia="zh-CN"/>
              </w:rPr>
            </w:pPr>
            <w:r>
              <w:rPr>
                <w:rFonts w:hint="eastAsia" w:ascii="仿宋_GB2312" w:hAnsi="宋体" w:eastAsia="仿宋_GB2312"/>
                <w:kern w:val="0"/>
                <w:sz w:val="22"/>
                <w:szCs w:val="22"/>
              </w:rPr>
              <w:t>　</w:t>
            </w:r>
            <w:r>
              <w:rPr>
                <w:rFonts w:hint="eastAsia" w:ascii="仿宋_GB2312" w:hAnsi="宋体" w:eastAsia="仿宋_GB2312"/>
                <w:kern w:val="0"/>
                <w:sz w:val="22"/>
                <w:szCs w:val="22"/>
                <w:lang w:val="en-US" w:eastAsia="zh-CN"/>
              </w:rPr>
              <w:t>13.35</w:t>
            </w:r>
          </w:p>
        </w:tc>
        <w:tc>
          <w:tcPr>
            <w:tcW w:w="490" w:type="dxa"/>
            <w:gridSpan w:val="2"/>
            <w:shd w:val="clear" w:color="auto" w:fill="auto"/>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p>
        </w:tc>
        <w:tc>
          <w:tcPr>
            <w:tcW w:w="766" w:type="dxa"/>
            <w:shd w:val="clear" w:color="auto" w:fill="auto"/>
            <w:vAlign w:val="top"/>
          </w:tcPr>
          <w:p>
            <w:pPr>
              <w:widowControl/>
              <w:jc w:val="left"/>
              <w:outlineLvl w:val="1"/>
              <w:rPr>
                <w:rFonts w:ascii="仿宋_GB2312" w:hAnsi="宋体" w:eastAsia="仿宋_GB2312"/>
                <w:kern w:val="0"/>
                <w:sz w:val="22"/>
                <w:szCs w:val="22"/>
              </w:rPr>
            </w:pPr>
            <w:r>
              <w:rPr>
                <w:rFonts w:hint="eastAsia" w:ascii="仿宋_GB2312" w:hAnsi="宋体" w:eastAsia="仿宋_GB2312"/>
                <w:kern w:val="0"/>
                <w:sz w:val="22"/>
                <w:szCs w:val="22"/>
              </w:rPr>
              <w:t>　</w:t>
            </w:r>
            <w:r>
              <w:rPr>
                <w:rFonts w:hint="eastAsia" w:ascii="仿宋_GB2312" w:hAnsi="宋体" w:eastAsia="仿宋_GB2312"/>
                <w:kern w:val="0"/>
                <w:sz w:val="22"/>
                <w:szCs w:val="22"/>
                <w:lang w:val="en-US" w:eastAsia="zh-CN"/>
              </w:rPr>
              <w:t>13.35</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p>
        </w:tc>
        <w:tc>
          <w:tcPr>
            <w:tcW w:w="416" w:type="dxa"/>
            <w:shd w:val="clear" w:color="auto" w:fill="auto"/>
          </w:tcPr>
          <w:p>
            <w:pPr>
              <w:widowControl/>
              <w:jc w:val="left"/>
              <w:outlineLvl w:val="1"/>
              <w:rPr>
                <w:rFonts w:ascii="仿宋_GB2312" w:hAnsi="宋体" w:eastAsia="仿宋_GB2312"/>
                <w:kern w:val="0"/>
                <w:sz w:val="32"/>
                <w:szCs w:val="32"/>
              </w:rPr>
            </w:pPr>
          </w:p>
        </w:tc>
        <w:tc>
          <w:tcPr>
            <w:tcW w:w="416"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66" w:type="dxa"/>
            <w:shd w:val="clear" w:color="auto" w:fill="auto"/>
          </w:tcPr>
          <w:p>
            <w:pPr>
              <w:widowControl/>
              <w:jc w:val="left"/>
              <w:outlineLvl w:val="1"/>
              <w:rPr>
                <w:rFonts w:ascii="仿宋_GB2312" w:hAnsi="宋体" w:eastAsia="仿宋_GB2312"/>
                <w:kern w:val="0"/>
                <w:sz w:val="32"/>
                <w:szCs w:val="32"/>
              </w:rPr>
            </w:pPr>
          </w:p>
        </w:tc>
        <w:tc>
          <w:tcPr>
            <w:tcW w:w="490" w:type="dxa"/>
            <w:gridSpan w:val="2"/>
            <w:shd w:val="clear" w:color="auto" w:fill="auto"/>
          </w:tcPr>
          <w:p>
            <w:pPr>
              <w:widowControl/>
              <w:jc w:val="left"/>
              <w:outlineLvl w:val="1"/>
              <w:rPr>
                <w:rFonts w:ascii="仿宋_GB2312" w:hAnsi="宋体" w:eastAsia="仿宋_GB2312"/>
                <w:kern w:val="0"/>
                <w:sz w:val="32"/>
                <w:szCs w:val="32"/>
              </w:rPr>
            </w:pPr>
          </w:p>
        </w:tc>
        <w:tc>
          <w:tcPr>
            <w:tcW w:w="76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66"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21.25</w:t>
            </w:r>
          </w:p>
        </w:tc>
        <w:tc>
          <w:tcPr>
            <w:tcW w:w="49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6" w:type="dxa"/>
            <w:shd w:val="clear" w:color="auto" w:fill="auto"/>
            <w:vAlign w:val="center"/>
          </w:tcPr>
          <w:p>
            <w:pPr>
              <w:widowControl/>
              <w:jc w:val="center"/>
              <w:outlineLvl w:val="1"/>
              <w:rPr>
                <w:rFonts w:hint="default" w:ascii="仿宋_GB2312" w:hAnsi="宋体" w:eastAsia="仿宋_GB2312" w:cs="Times New Roman"/>
                <w:kern w:val="0"/>
                <w:sz w:val="21"/>
                <w:szCs w:val="21"/>
                <w:lang w:val="en-US" w:eastAsia="zh-CN" w:bidi="ar-SA"/>
              </w:rPr>
            </w:pPr>
            <w:r>
              <w:rPr>
                <w:rFonts w:hint="eastAsia" w:ascii="仿宋_GB2312" w:hAnsi="宋体" w:eastAsia="仿宋_GB2312"/>
                <w:kern w:val="0"/>
                <w:szCs w:val="21"/>
                <w:lang w:val="en-US" w:eastAsia="zh-CN"/>
              </w:rPr>
              <w:t>21.25</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1.60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0.80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0.80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0.80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本单位无政府性基金支出</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hint="eastAsia"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按照全口径预算的原则，克州党委统战部20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b w:val="0"/>
          <w:bCs w:val="0"/>
          <w:kern w:val="0"/>
          <w:sz w:val="32"/>
          <w:szCs w:val="32"/>
          <w:lang w:val="en-US" w:eastAsia="zh-CN"/>
        </w:rPr>
        <w:t>179.77</w:t>
      </w:r>
      <w:r>
        <w:rPr>
          <w:rFonts w:hint="eastAsia" w:ascii="仿宋_GB2312" w:hAnsi="宋体" w:eastAsia="仿宋_GB2312" w:cs="宋体"/>
          <w:b w:val="0"/>
          <w:bCs w:val="0"/>
          <w:kern w:val="0"/>
          <w:sz w:val="32"/>
          <w:szCs w:val="32"/>
        </w:rPr>
        <w:t>万</w:t>
      </w:r>
      <w:r>
        <w:rPr>
          <w:rFonts w:hint="eastAsia" w:ascii="仿宋_GB2312" w:hAnsi="宋体" w:eastAsia="仿宋_GB2312" w:cs="宋体"/>
          <w:kern w:val="0"/>
          <w:sz w:val="32"/>
          <w:szCs w:val="32"/>
        </w:rPr>
        <w:t>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174.07万元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5.70万元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179.77万元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克州党委统战部收入预算</w:t>
      </w:r>
      <w:r>
        <w:rPr>
          <w:rFonts w:hint="eastAsia" w:ascii="仿宋_GB2312" w:hAnsi="宋体" w:eastAsia="仿宋_GB2312" w:cs="宋体"/>
          <w:kern w:val="0"/>
          <w:sz w:val="32"/>
          <w:szCs w:val="32"/>
          <w:lang w:val="en-US" w:eastAsia="zh-CN"/>
        </w:rPr>
        <w:t>179.77</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174.07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96.83</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51.06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群众工作经费、群众工作生活补助减少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5.7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3.17</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42.1</w:t>
      </w:r>
      <w:r>
        <w:rPr>
          <w:rFonts w:hint="eastAsia" w:ascii="仿宋_GB2312" w:hAnsi="宋体" w:eastAsia="仿宋_GB2312" w:cs="宋体"/>
          <w:kern w:val="0"/>
          <w:sz w:val="32"/>
          <w:szCs w:val="32"/>
        </w:rPr>
        <w:t>万元，主要原</w:t>
      </w:r>
      <w:r>
        <w:rPr>
          <w:rFonts w:hint="eastAsia" w:ascii="仿宋_GB2312" w:hAnsi="宋体" w:eastAsia="仿宋_GB2312" w:cs="宋体"/>
          <w:kern w:val="0"/>
          <w:sz w:val="32"/>
          <w:szCs w:val="32"/>
          <w:lang w:eastAsia="zh-CN"/>
        </w:rPr>
        <w:t>因</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eastAsia="zh-CN"/>
        </w:rPr>
        <w:t>根据工作实际支出。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克州党委统战部20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179.77</w:t>
      </w:r>
      <w:r>
        <w:rPr>
          <w:rFonts w:hint="eastAsia" w:ascii="仿宋_GB2312" w:hAnsi="宋体" w:eastAsia="仿宋_GB2312" w:cs="宋体"/>
          <w:kern w:val="0"/>
          <w:sz w:val="32"/>
          <w:szCs w:val="32"/>
        </w:rPr>
        <w:t>万元，其中：</w:t>
      </w:r>
    </w:p>
    <w:p>
      <w:pPr>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158.52</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88.18</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65.09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eastAsia="zh-CN"/>
        </w:rPr>
        <w:t>统战对象、群众工作人员生活补助减少</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21.25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11.82</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343.52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今年</w:t>
      </w:r>
      <w:r>
        <w:rPr>
          <w:rFonts w:hint="eastAsia" w:ascii="仿宋_GB2312" w:hAnsi="宋体" w:eastAsia="仿宋_GB2312" w:cs="宋体"/>
          <w:kern w:val="0"/>
          <w:sz w:val="32"/>
          <w:szCs w:val="32"/>
        </w:rPr>
        <w:t>自治区</w:t>
      </w:r>
      <w:r>
        <w:rPr>
          <w:rFonts w:hint="eastAsia" w:ascii="仿宋_GB2312" w:hAnsi="宋体" w:eastAsia="仿宋_GB2312" w:cs="宋体"/>
          <w:kern w:val="0"/>
          <w:sz w:val="32"/>
          <w:szCs w:val="32"/>
          <w:lang w:eastAsia="zh-CN"/>
        </w:rPr>
        <w:t>暂未</w:t>
      </w:r>
      <w:r>
        <w:rPr>
          <w:rFonts w:hint="eastAsia" w:ascii="仿宋_GB2312" w:hAnsi="宋体" w:eastAsia="仿宋_GB2312" w:cs="宋体"/>
          <w:kern w:val="0"/>
          <w:sz w:val="32"/>
          <w:szCs w:val="32"/>
        </w:rPr>
        <w:t>拨入伊斯兰教教职人员集中培训工作经费</w:t>
      </w:r>
      <w:r>
        <w:rPr>
          <w:rFonts w:hint="eastAsia" w:hAnsi="宋体" w:eastAsia="仿宋_GB2312" w:cs="宋体"/>
          <w:kern w:val="0"/>
          <w:sz w:val="32"/>
          <w:szCs w:val="32"/>
        </w:rPr>
        <w:t>和驻村管寺人员补助经费等</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克州党委统战部20</w:t>
      </w:r>
      <w:r>
        <w:rPr>
          <w:rFonts w:hint="eastAsia" w:ascii="黑体" w:hAnsi="宋体" w:eastAsia="黑体" w:cs="宋体"/>
          <w:kern w:val="0"/>
          <w:sz w:val="32"/>
          <w:szCs w:val="32"/>
          <w:lang w:val="en-US" w:eastAsia="zh-CN"/>
        </w:rPr>
        <w:t>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174.07</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174.07</w:t>
      </w:r>
      <w:r>
        <w:rPr>
          <w:rFonts w:hint="eastAsia" w:ascii="仿宋_GB2312" w:hAnsi="宋体" w:eastAsia="仿宋_GB2312" w:cs="宋体"/>
          <w:kern w:val="0"/>
          <w:sz w:val="32"/>
          <w:szCs w:val="32"/>
        </w:rPr>
        <w:t>万元，主要用于对其他个人和家庭的补助、津贴补贴、基本工资。</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克州党委统战部20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 xml:space="preserve">年一般公共预算拨款基本支出    </w:t>
      </w:r>
      <w:r>
        <w:rPr>
          <w:rFonts w:hint="eastAsia" w:ascii="仿宋_GB2312" w:hAnsi="宋体" w:eastAsia="仿宋_GB2312" w:cs="宋体"/>
          <w:kern w:val="0"/>
          <w:sz w:val="32"/>
          <w:szCs w:val="32"/>
          <w:lang w:val="en-US" w:eastAsia="zh-CN"/>
        </w:rPr>
        <w:t>157.67</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67.52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29.98</w:t>
      </w:r>
      <w:r>
        <w:rPr>
          <w:rFonts w:hint="eastAsia" w:ascii="仿宋_GB2312" w:hAnsi="宋体" w:eastAsia="仿宋_GB2312" w:cs="宋体"/>
          <w:kern w:val="0"/>
          <w:sz w:val="32"/>
          <w:szCs w:val="32"/>
        </w:rPr>
        <w:t xml:space="preserve">%。主要原因是： </w:t>
      </w:r>
      <w:r>
        <w:rPr>
          <w:rFonts w:hint="eastAsia" w:ascii="仿宋_GB2312" w:hAnsi="宋体" w:eastAsia="仿宋_GB2312" w:cs="宋体"/>
          <w:kern w:val="0"/>
          <w:sz w:val="32"/>
          <w:szCs w:val="32"/>
          <w:lang w:eastAsia="zh-CN"/>
        </w:rPr>
        <w:t>群众工作经费、群众工作生活补助减少</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hAnsi="宋体" w:eastAsia="仿宋_GB2312" w:cs="宋体"/>
          <w:kern w:val="0"/>
          <w:sz w:val="32"/>
          <w:szCs w:val="32"/>
          <w:lang w:val="en-US" w:eastAsia="zh-CN"/>
        </w:rPr>
        <w:t>157.67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90.58</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2.项目支出</w:t>
      </w:r>
      <w:r>
        <w:rPr>
          <w:rFonts w:hint="eastAsia" w:ascii="仿宋_GB2312" w:hAnsi="宋体" w:eastAsia="仿宋_GB2312" w:cs="宋体"/>
          <w:kern w:val="0"/>
          <w:sz w:val="32"/>
          <w:szCs w:val="32"/>
          <w:lang w:val="en-US" w:eastAsia="zh-CN"/>
        </w:rPr>
        <w:t>16.4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9.42</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1.一般公共服务（201）财政事务（34）行政运行（01）:</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158.52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85.64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35.08</w:t>
      </w:r>
      <w:r>
        <w:rPr>
          <w:rFonts w:hint="eastAsia" w:ascii="仿宋_GB2312" w:hAnsi="宋体" w:eastAsia="仿宋_GB2312" w:cs="宋体"/>
          <w:kern w:val="0"/>
          <w:sz w:val="32"/>
          <w:szCs w:val="32"/>
        </w:rPr>
        <w:t xml:space="preserve">%，主要原因是： </w:t>
      </w:r>
      <w:r>
        <w:rPr>
          <w:rFonts w:hint="eastAsia" w:ascii="仿宋_GB2312" w:hAnsi="宋体" w:eastAsia="仿宋_GB2312" w:cs="宋体"/>
          <w:kern w:val="0"/>
          <w:sz w:val="32"/>
          <w:szCs w:val="32"/>
          <w:lang w:eastAsia="zh-CN"/>
        </w:rPr>
        <w:t>群众工作经费、群众工作生活补助减少；</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一般公共服务（201）财政事务（34）</w:t>
      </w:r>
      <w:r>
        <w:rPr>
          <w:rFonts w:hint="eastAsia" w:ascii="仿宋_GB2312" w:hAnsi="宋体" w:eastAsia="仿宋_GB2312" w:cs="宋体"/>
          <w:kern w:val="0"/>
          <w:sz w:val="32"/>
          <w:szCs w:val="32"/>
          <w:lang w:eastAsia="zh-CN"/>
        </w:rPr>
        <w:t>其他统战事务</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99</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21.25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23.34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52.34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群众工作经费等减少。</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克州党委统战部20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157.67</w:t>
      </w:r>
      <w:r>
        <w:rPr>
          <w:rFonts w:hint="eastAsia" w:ascii="仿宋_GB2312" w:hAnsi="宋体" w:eastAsia="仿宋_GB2312" w:cs="宋体"/>
          <w:kern w:val="0"/>
          <w:sz w:val="32"/>
          <w:szCs w:val="32"/>
        </w:rPr>
        <w:t xml:space="preserve">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149.87</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45.35万元</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57.19万元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3.78</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14.88万元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11.33万元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10.72万元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6.51万元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0.11万元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7.80</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2.6万元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0.80万元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0.80万元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0.64万元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1.15万元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0.80万元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年项目支出情况说明</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：培训费</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根据党委、政府文件规定</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预算安排规模：11.4</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克州党委统战部</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资金分配情况：其他</w:t>
      </w:r>
      <w:r>
        <w:rPr>
          <w:rFonts w:hint="eastAsia" w:ascii="仿宋_GB2312" w:hAnsi="宋体" w:eastAsia="仿宋_GB2312" w:cs="宋体"/>
          <w:kern w:val="0"/>
          <w:sz w:val="32"/>
          <w:szCs w:val="32"/>
        </w:rPr>
        <w:t>商品和服务支出</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、项目名称：特殊工作经费</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宋体"/>
          <w:kern w:val="0"/>
          <w:sz w:val="32"/>
          <w:szCs w:val="32"/>
        </w:rPr>
        <w:t>根据党委、政府文件规定</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预算安排规模：5</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克州党委统战部</w:t>
      </w:r>
    </w:p>
    <w:p>
      <w:pPr>
        <w:widowControl/>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资金分配情况：其他其他</w:t>
      </w:r>
      <w:r>
        <w:rPr>
          <w:rFonts w:hint="eastAsia" w:ascii="仿宋_GB2312" w:hAnsi="宋体" w:eastAsia="仿宋_GB2312" w:cs="宋体"/>
          <w:kern w:val="0"/>
          <w:sz w:val="32"/>
          <w:szCs w:val="32"/>
        </w:rPr>
        <w:t>商品和服务支出</w:t>
      </w:r>
    </w:p>
    <w:p>
      <w:pPr>
        <w:widowControl/>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克州党委统战部20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0.80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0.80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0.80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年“三公”经费财政拨款预算比上年减少</w:t>
      </w:r>
      <w:r>
        <w:rPr>
          <w:rFonts w:hint="eastAsia" w:ascii="仿宋_GB2312" w:hAnsi="宋体" w:eastAsia="仿宋_GB2312" w:cs="宋体"/>
          <w:kern w:val="0"/>
          <w:sz w:val="32"/>
          <w:szCs w:val="32"/>
          <w:lang w:val="en-US" w:eastAsia="zh-CN"/>
        </w:rPr>
        <w:t>0.40</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；公务用车购置费为0，未安排预算。公务用车运行费减少</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按照财务规定，严格控制三公经费支出</w:t>
      </w:r>
      <w:r>
        <w:rPr>
          <w:rFonts w:hint="eastAsia" w:ascii="仿宋_GB2312" w:hAnsi="宋体" w:eastAsia="仿宋_GB2312" w:cs="宋体"/>
          <w:kern w:val="0"/>
          <w:sz w:val="32"/>
          <w:szCs w:val="32"/>
        </w:rPr>
        <w:t>；公务接待费减少</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按照财务规定，严格控制三公经费支出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九、关于克州党委统战部20</w:t>
      </w:r>
      <w:r>
        <w:rPr>
          <w:rFonts w:hint="eastAsia" w:ascii="黑体" w:hAnsi="宋体" w:eastAsia="黑体" w:cs="宋体"/>
          <w:kern w:val="0"/>
          <w:sz w:val="32"/>
          <w:szCs w:val="32"/>
          <w:lang w:val="en-US" w:eastAsia="zh-CN"/>
        </w:rPr>
        <w:t>20</w:t>
      </w:r>
      <w:r>
        <w:rPr>
          <w:rFonts w:hint="eastAsia" w:ascii="黑体" w:hAnsi="宋体" w:eastAsia="黑体" w:cs="宋体"/>
          <w:kern w:val="0"/>
          <w:sz w:val="32"/>
          <w:szCs w:val="32"/>
        </w:rPr>
        <w:t>年政府性基金预算拨款情况说明</w:t>
      </w:r>
    </w:p>
    <w:p>
      <w:pPr>
        <w:widowControl/>
        <w:spacing w:line="560" w:lineRule="exact"/>
        <w:ind w:firstLine="627" w:firstLineChars="196"/>
        <w:jc w:val="left"/>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克州党委统战部</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年，克州党委统战部本级及下属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174.07</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51.06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22.68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群众工作经费、群众工作生活补助减少。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克州党委统战部</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11.81</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11.81</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年底，克州党委统战部占用使用国有资产总体情况为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辆，价值54.2万元；其中：一般公务用车1辆，价值38.5万元;执法执勤用车0辆,价值0万元;其他车辆1辆,价值15.7万元。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11.14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88.81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 xml:space="preserve"> 个，涉及预算金额</w:t>
      </w:r>
      <w:r>
        <w:rPr>
          <w:rFonts w:hint="eastAsia" w:ascii="仿宋_GB2312" w:hAnsi="宋体" w:eastAsia="仿宋_GB2312" w:cs="宋体"/>
          <w:kern w:val="0"/>
          <w:sz w:val="32"/>
          <w:szCs w:val="32"/>
          <w:lang w:val="en-US" w:eastAsia="zh-CN"/>
        </w:rPr>
        <w:t>16.4</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0"/>
            <w:vAlign w:val="bottom"/>
          </w:tcPr>
          <w:p>
            <w:pPr>
              <w:widowControl/>
              <w:jc w:val="center"/>
              <w:outlineLvl w:val="1"/>
              <w:rPr>
                <w:rFonts w:ascii="宋体" w:hAnsi="宋体" w:eastAsia="宋体" w:cs="Times New Roman"/>
                <w:b/>
                <w:bCs/>
                <w:kern w:val="0"/>
                <w:sz w:val="32"/>
                <w:szCs w:val="32"/>
                <w:lang w:val="en-US" w:eastAsia="zh-CN" w:bidi="ar-SA"/>
              </w:rPr>
            </w:pPr>
            <w:r>
              <w:rPr>
                <w:rFonts w:hint="eastAsia" w:ascii="仿宋_GB2312" w:hAnsi="宋体" w:eastAsia="仿宋_GB2312"/>
                <w:b/>
                <w:bCs/>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1857"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1664"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1664" w:type="dxa"/>
            <w:gridSpan w:val="2"/>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323"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323"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1925"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249"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3275" w:type="dxa"/>
            <w:gridSpan w:val="2"/>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r>
              <w:rPr>
                <w:rFonts w:hint="eastAsia" w:ascii="宋体" w:hAnsi="宋体"/>
                <w:color w:val="000000"/>
                <w:kern w:val="0"/>
                <w:sz w:val="22"/>
              </w:rPr>
              <w:t>单位：万元</w:t>
            </w:r>
          </w:p>
        </w:tc>
        <w:tc>
          <w:tcPr>
            <w:tcW w:w="249"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c>
          <w:tcPr>
            <w:tcW w:w="249" w:type="dxa"/>
            <w:tcBorders>
              <w:top w:val="nil"/>
              <w:left w:val="nil"/>
              <w:bottom w:val="nil"/>
              <w:right w:val="nil"/>
            </w:tcBorders>
            <w:noWrap w:val="0"/>
            <w:vAlign w:val="bottom"/>
          </w:tcPr>
          <w:p>
            <w:pPr>
              <w:widowControl/>
              <w:jc w:val="left"/>
              <w:rPr>
                <w:rFonts w:ascii="宋体" w:hAnsi="宋体" w:eastAsia="宋体" w:cs="Times New Roman"/>
                <w:color w:val="000000"/>
                <w:kern w:val="0"/>
                <w:sz w:val="22"/>
                <w:szCs w:val="24"/>
                <w:lang w:val="en-US" w:eastAsia="zh-CN" w:bidi="ar-SA"/>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克州党委统战部</w:t>
            </w:r>
          </w:p>
        </w:tc>
        <w:tc>
          <w:tcPr>
            <w:tcW w:w="19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培训费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年度资金总额：</w:t>
            </w:r>
          </w:p>
        </w:tc>
        <w:tc>
          <w:tcPr>
            <w:tcW w:w="2164"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11.4　</w:t>
            </w:r>
          </w:p>
        </w:tc>
        <w:tc>
          <w:tcPr>
            <w:tcW w:w="18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其中：财政拨款</w:t>
            </w:r>
          </w:p>
        </w:tc>
        <w:tc>
          <w:tcPr>
            <w:tcW w:w="1925"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11.4　</w:t>
            </w:r>
          </w:p>
        </w:tc>
        <w:tc>
          <w:tcPr>
            <w:tcW w:w="138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val="0"/>
            <w:vAlign w:val="top"/>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一级指标</w:t>
            </w: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b/>
                <w:bCs/>
                <w:kern w:val="0"/>
                <w:sz w:val="18"/>
                <w:szCs w:val="18"/>
                <w:lang w:val="en-US" w:eastAsia="zh-CN" w:bidi="ar-SA"/>
              </w:rPr>
            </w:pPr>
            <w:r>
              <w:rPr>
                <w:rFonts w:hint="eastAsia" w:ascii="宋体" w:hAnsi="宋体"/>
                <w:b/>
                <w:bCs/>
                <w:kern w:val="0"/>
                <w:sz w:val="18"/>
                <w:szCs w:val="18"/>
              </w:rPr>
              <w:t>指标值（包含数字及文字描述）</w:t>
            </w:r>
          </w:p>
        </w:tc>
      </w:tr>
      <w:tr>
        <w:tblPrEx>
          <w:tblCellMar>
            <w:top w:w="0" w:type="dxa"/>
            <w:left w:w="108" w:type="dxa"/>
            <w:bottom w:w="0" w:type="dxa"/>
            <w:right w:w="108" w:type="dxa"/>
          </w:tblCellMar>
        </w:tblPrEx>
        <w:trPr>
          <w:trHeight w:val="10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项目完成指标</w:t>
            </w:r>
          </w:p>
          <w:p>
            <w:pPr>
              <w:widowControl/>
              <w:jc w:val="center"/>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成本指标</w:t>
            </w:r>
          </w:p>
          <w:p>
            <w:pPr>
              <w:widowControl/>
              <w:jc w:val="center"/>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用于对爱国人士特殊的时势政治培训费，食宿费、交通费、通讯费、资料费；前往县市调研督查，加油费及食宿费。</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rPr>
              <w:t>年初项目预算共计114000元，其中计划用于对爱国人士特殊的时势政治培训费，食宿费、交通费、通讯费、资料费100000元；前往县市调研督查，加油费及食宿费14000元。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时效指标</w:t>
            </w:r>
          </w:p>
          <w:p>
            <w:pPr>
              <w:widowControl/>
              <w:jc w:val="center"/>
              <w:rPr>
                <w:rFonts w:ascii="宋体" w:hAnsi="宋体"/>
                <w:kern w:val="0"/>
                <w:sz w:val="18"/>
                <w:szCs w:val="18"/>
              </w:rPr>
            </w:pPr>
            <w:r>
              <w:rPr>
                <w:rFonts w:hint="eastAsia" w:ascii="宋体" w:hAnsi="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lang w:val="en-US" w:eastAsia="zh-CN"/>
              </w:rPr>
              <w:t>2020</w:t>
            </w:r>
            <w:r>
              <w:rPr>
                <w:rFonts w:hint="eastAsia" w:ascii="宋体" w:hAnsi="宋体"/>
                <w:kern w:val="0"/>
                <w:sz w:val="18"/>
                <w:szCs w:val="18"/>
              </w:rPr>
              <w:t>年1月1日-</w:t>
            </w:r>
            <w:r>
              <w:rPr>
                <w:rFonts w:hint="eastAsia" w:ascii="宋体" w:hAnsi="宋体"/>
                <w:kern w:val="0"/>
                <w:sz w:val="18"/>
                <w:szCs w:val="18"/>
                <w:lang w:val="en-US" w:eastAsia="zh-CN"/>
              </w:rPr>
              <w:t>2020</w:t>
            </w:r>
            <w:r>
              <w:rPr>
                <w:rFonts w:hint="eastAsia" w:ascii="宋体" w:hAnsi="宋体"/>
                <w:kern w:val="0"/>
                <w:sz w:val="18"/>
                <w:szCs w:val="18"/>
              </w:rPr>
              <w:t>年12月30日</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lang w:val="en-US" w:eastAsia="zh-CN"/>
              </w:rPr>
              <w:t>2020</w:t>
            </w:r>
            <w:r>
              <w:rPr>
                <w:rFonts w:hint="eastAsia" w:ascii="宋体" w:hAnsi="宋体"/>
                <w:kern w:val="0"/>
                <w:sz w:val="18"/>
                <w:szCs w:val="18"/>
              </w:rPr>
              <w:t>年1月1日-</w:t>
            </w:r>
            <w:r>
              <w:rPr>
                <w:rFonts w:hint="eastAsia" w:ascii="宋体" w:hAnsi="宋体"/>
                <w:kern w:val="0"/>
                <w:sz w:val="18"/>
                <w:szCs w:val="18"/>
                <w:lang w:val="en-US" w:eastAsia="zh-CN"/>
              </w:rPr>
              <w:t>2020</w:t>
            </w:r>
            <w:r>
              <w:rPr>
                <w:rFonts w:hint="eastAsia" w:ascii="宋体" w:hAnsi="宋体"/>
                <w:kern w:val="0"/>
                <w:sz w:val="18"/>
                <w:szCs w:val="18"/>
              </w:rPr>
              <w:t>年12月30日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伊斯兰教教职人员培训人数</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≥79人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质量指标质量指标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克州覆盖范围</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≥97%</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维护社会稳定和长治久安的意识</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Times New Roman"/>
                <w:kern w:val="0"/>
                <w:sz w:val="18"/>
                <w:szCs w:val="18"/>
                <w:lang w:val="en-US" w:eastAsia="zh-CN" w:bidi="ar-SA"/>
              </w:rPr>
            </w:pPr>
            <w:r>
              <w:rPr>
                <w:rFonts w:hint="eastAsia" w:ascii="宋体" w:hAnsi="宋体"/>
                <w:kern w:val="0"/>
                <w:sz w:val="18"/>
                <w:szCs w:val="18"/>
              </w:rPr>
              <w:t>逐渐提高</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项目效益指标项目效益指标</w:t>
            </w:r>
          </w:p>
          <w:p>
            <w:pPr>
              <w:widowControl/>
              <w:jc w:val="center"/>
              <w:rPr>
                <w:rFonts w:ascii="宋体" w:hAnsi="宋体"/>
                <w:kern w:val="0"/>
                <w:sz w:val="18"/>
                <w:szCs w:val="18"/>
              </w:rPr>
            </w:pP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伊斯兰教教职人员政治素质</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逐渐提高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经济效益指标</w:t>
            </w:r>
          </w:p>
          <w:p>
            <w:pPr>
              <w:widowControl/>
              <w:jc w:val="center"/>
              <w:rPr>
                <w:rFonts w:ascii="宋体" w:hAnsi="宋体"/>
                <w:kern w:val="0"/>
                <w:sz w:val="18"/>
                <w:szCs w:val="18"/>
              </w:rPr>
            </w:pPr>
            <w:r>
              <w:rPr>
                <w:rFonts w:hint="eastAsia" w:ascii="宋体" w:hAnsi="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kern w:val="2"/>
                <w:sz w:val="18"/>
                <w:szCs w:val="18"/>
                <w:lang w:val="en-US" w:eastAsia="zh-CN" w:bidi="ar-SA"/>
              </w:rPr>
            </w:pPr>
            <w:r>
              <w:rPr>
                <w:rFonts w:hint="eastAsia"/>
                <w:sz w:val="18"/>
                <w:szCs w:val="18"/>
              </w:rPr>
              <w:t>掌握国家通用语言</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≥90%</w:t>
            </w:r>
          </w:p>
        </w:tc>
      </w:tr>
      <w:tr>
        <w:tblPrEx>
          <w:tblCellMar>
            <w:top w:w="0" w:type="dxa"/>
            <w:left w:w="108" w:type="dxa"/>
            <w:bottom w:w="0" w:type="dxa"/>
            <w:right w:w="108" w:type="dxa"/>
          </w:tblCellMar>
        </w:tblPrEx>
        <w:trPr>
          <w:trHeight w:val="41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社会效益指标社会效益指标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eastAsia="宋体" w:cs="Times New Roman"/>
                <w:kern w:val="0"/>
                <w:sz w:val="18"/>
                <w:szCs w:val="18"/>
                <w:lang w:val="en-US" w:eastAsia="zh-CN" w:bidi="ar-SA"/>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紧紧围绕社会稳定和长治久安总目标，深入贯彻中央、自治区、自治州党的工作会议精神，深入落实自治区、自治州党委《关于进一步加强爱国人士工作的意见》要求，进一步巩固和扩大前一个时期的工作成果,紧跟时代发展步伐，围绕新的历史条件下</w:t>
            </w:r>
            <w:bookmarkStart w:id="0" w:name="_GoBack"/>
            <w:bookmarkEnd w:id="0"/>
            <w:r>
              <w:rPr>
                <w:rFonts w:hint="eastAsia" w:ascii="宋体" w:hAnsi="宋体"/>
                <w:kern w:val="0"/>
                <w:sz w:val="18"/>
                <w:szCs w:val="18"/>
              </w:rPr>
              <w:t>工作的总体要求，深入研究、探索创新，破解全州工作发展难题。特别是善于在党政工作的大格局、大背景下，找准人士工作与行政部门以及其他社会组织，在促进人士政治背景坚定方面的结合点和切入点，形成工作合力。</w:t>
            </w:r>
          </w:p>
          <w:p>
            <w:pPr>
              <w:widowControl/>
              <w:jc w:val="center"/>
              <w:rPr>
                <w:rFonts w:ascii="宋体" w:hAnsi="宋体" w:eastAsia="宋体" w:cs="Times New Roman"/>
                <w:kern w:val="0"/>
                <w:sz w:val="18"/>
                <w:szCs w:val="18"/>
                <w:lang w:val="en-US" w:eastAsia="zh-CN" w:bidi="ar-SA"/>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促进和睦和谐，实现新疆社会稳定和长治久安总目标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生态效益指标生态效益指标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满意度指标满意度指标</w:t>
            </w: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满意度指标满意度指标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1857"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Times New Roman"/>
                <w:kern w:val="0"/>
                <w:sz w:val="18"/>
                <w:szCs w:val="18"/>
                <w:lang w:val="en-US" w:eastAsia="zh-CN" w:bidi="ar-SA"/>
              </w:rPr>
            </w:pPr>
            <w:r>
              <w:rPr>
                <w:rFonts w:hint="eastAsia" w:ascii="宋体" w:hAnsi="宋体"/>
                <w:kern w:val="0"/>
                <w:sz w:val="18"/>
                <w:szCs w:val="18"/>
              </w:rPr>
              <w:t>实行差别化培训，提高学员满意度</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Times New Roman"/>
                <w:kern w:val="0"/>
                <w:sz w:val="18"/>
                <w:szCs w:val="18"/>
                <w:lang w:val="en-US" w:eastAsia="zh-CN" w:bidi="ar-SA"/>
              </w:rPr>
            </w:pPr>
            <w:r>
              <w:rPr>
                <w:rFonts w:hint="eastAsia" w:ascii="宋体" w:hAnsi="宋体"/>
                <w:kern w:val="0"/>
                <w:sz w:val="18"/>
                <w:szCs w:val="18"/>
              </w:rPr>
              <w:t>群众满意度≥96%</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0"/>
            <w:vAlign w:val="bottom"/>
          </w:tcPr>
          <w:p>
            <w:pPr>
              <w:widowControl/>
              <w:jc w:val="center"/>
              <w:outlineLvl w:val="1"/>
              <w:rPr>
                <w:rFonts w:ascii="宋体" w:hAnsi="宋体"/>
                <w:b/>
                <w:bCs/>
                <w:kern w:val="0"/>
                <w:sz w:val="32"/>
                <w:szCs w:val="32"/>
              </w:rPr>
            </w:pPr>
            <w:r>
              <w:rPr>
                <w:rFonts w:hint="eastAsia" w:ascii="仿宋_GB2312" w:hAnsi="宋体" w:eastAsia="仿宋_GB2312"/>
                <w:b/>
                <w:bCs/>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0"/>
            <w:vAlign w:val="bottom"/>
          </w:tcPr>
          <w:p>
            <w:pPr>
              <w:widowControl/>
              <w:jc w:val="left"/>
              <w:rPr>
                <w:rFonts w:ascii="宋体" w:hAnsi="宋体"/>
                <w:color w:val="000000"/>
                <w:kern w:val="0"/>
                <w:sz w:val="22"/>
              </w:rPr>
            </w:pPr>
          </w:p>
        </w:tc>
        <w:tc>
          <w:tcPr>
            <w:tcW w:w="1857" w:type="dxa"/>
            <w:tcBorders>
              <w:top w:val="nil"/>
              <w:left w:val="nil"/>
              <w:bottom w:val="nil"/>
              <w:right w:val="nil"/>
            </w:tcBorders>
            <w:noWrap w:val="0"/>
            <w:vAlign w:val="bottom"/>
          </w:tcPr>
          <w:p>
            <w:pPr>
              <w:widowControl/>
              <w:jc w:val="left"/>
              <w:rPr>
                <w:rFonts w:ascii="宋体" w:hAnsi="宋体"/>
                <w:color w:val="000000"/>
                <w:kern w:val="0"/>
                <w:sz w:val="22"/>
              </w:rPr>
            </w:pPr>
          </w:p>
        </w:tc>
        <w:tc>
          <w:tcPr>
            <w:tcW w:w="1664" w:type="dxa"/>
            <w:tcBorders>
              <w:top w:val="nil"/>
              <w:left w:val="nil"/>
              <w:bottom w:val="nil"/>
              <w:right w:val="nil"/>
            </w:tcBorders>
            <w:noWrap w:val="0"/>
            <w:vAlign w:val="bottom"/>
          </w:tcPr>
          <w:p>
            <w:pPr>
              <w:widowControl/>
              <w:jc w:val="left"/>
              <w:rPr>
                <w:rFonts w:ascii="宋体" w:hAnsi="宋体"/>
                <w:color w:val="000000"/>
                <w:kern w:val="0"/>
                <w:sz w:val="22"/>
              </w:rPr>
            </w:pPr>
          </w:p>
        </w:tc>
        <w:tc>
          <w:tcPr>
            <w:tcW w:w="1664" w:type="dxa"/>
            <w:gridSpan w:val="2"/>
            <w:tcBorders>
              <w:top w:val="nil"/>
              <w:left w:val="nil"/>
              <w:bottom w:val="nil"/>
              <w:right w:val="nil"/>
            </w:tcBorders>
            <w:noWrap w:val="0"/>
            <w:vAlign w:val="bottom"/>
          </w:tcPr>
          <w:p>
            <w:pPr>
              <w:widowControl/>
              <w:jc w:val="left"/>
              <w:rPr>
                <w:rFonts w:ascii="宋体" w:hAnsi="宋体"/>
                <w:color w:val="000000"/>
                <w:kern w:val="0"/>
                <w:sz w:val="22"/>
              </w:rPr>
            </w:pPr>
          </w:p>
        </w:tc>
        <w:tc>
          <w:tcPr>
            <w:tcW w:w="323" w:type="dxa"/>
            <w:tcBorders>
              <w:top w:val="nil"/>
              <w:left w:val="nil"/>
              <w:bottom w:val="nil"/>
              <w:right w:val="nil"/>
            </w:tcBorders>
            <w:noWrap w:val="0"/>
            <w:vAlign w:val="bottom"/>
          </w:tcPr>
          <w:p>
            <w:pPr>
              <w:widowControl/>
              <w:jc w:val="left"/>
              <w:rPr>
                <w:rFonts w:ascii="宋体" w:hAnsi="宋体"/>
                <w:color w:val="000000"/>
                <w:kern w:val="0"/>
                <w:sz w:val="22"/>
              </w:rPr>
            </w:pPr>
          </w:p>
        </w:tc>
        <w:tc>
          <w:tcPr>
            <w:tcW w:w="323" w:type="dxa"/>
            <w:tcBorders>
              <w:top w:val="nil"/>
              <w:left w:val="nil"/>
              <w:bottom w:val="nil"/>
              <w:right w:val="nil"/>
            </w:tcBorders>
            <w:noWrap w:val="0"/>
            <w:vAlign w:val="bottom"/>
          </w:tcPr>
          <w:p>
            <w:pPr>
              <w:widowControl/>
              <w:jc w:val="left"/>
              <w:rPr>
                <w:rFonts w:ascii="宋体" w:hAnsi="宋体"/>
                <w:color w:val="000000"/>
                <w:kern w:val="0"/>
                <w:sz w:val="22"/>
              </w:rPr>
            </w:pPr>
          </w:p>
        </w:tc>
        <w:tc>
          <w:tcPr>
            <w:tcW w:w="1925" w:type="dxa"/>
            <w:tcBorders>
              <w:top w:val="nil"/>
              <w:left w:val="nil"/>
              <w:bottom w:val="nil"/>
              <w:right w:val="nil"/>
            </w:tcBorders>
            <w:noWrap w:val="0"/>
            <w:vAlign w:val="bottom"/>
          </w:tcPr>
          <w:p>
            <w:pPr>
              <w:widowControl/>
              <w:jc w:val="left"/>
              <w:rPr>
                <w:rFonts w:ascii="宋体" w:hAnsi="宋体"/>
                <w:color w:val="000000"/>
                <w:kern w:val="0"/>
                <w:sz w:val="22"/>
              </w:rPr>
            </w:pPr>
          </w:p>
        </w:tc>
        <w:tc>
          <w:tcPr>
            <w:tcW w:w="249" w:type="dxa"/>
            <w:tcBorders>
              <w:top w:val="nil"/>
              <w:left w:val="nil"/>
              <w:bottom w:val="nil"/>
              <w:right w:val="nil"/>
            </w:tcBorders>
            <w:noWrap w:val="0"/>
            <w:vAlign w:val="bottom"/>
          </w:tcPr>
          <w:p>
            <w:pPr>
              <w:widowControl/>
              <w:jc w:val="left"/>
              <w:rPr>
                <w:rFonts w:ascii="宋体" w:hAnsi="宋体"/>
                <w:color w:val="000000"/>
                <w:kern w:val="0"/>
                <w:sz w:val="22"/>
              </w:rPr>
            </w:pPr>
          </w:p>
        </w:tc>
        <w:tc>
          <w:tcPr>
            <w:tcW w:w="3275" w:type="dxa"/>
            <w:gridSpan w:val="2"/>
            <w:tcBorders>
              <w:top w:val="nil"/>
              <w:left w:val="nil"/>
              <w:bottom w:val="nil"/>
              <w:right w:val="nil"/>
            </w:tcBorders>
            <w:noWrap w:val="0"/>
            <w:vAlign w:val="bottom"/>
          </w:tcPr>
          <w:p>
            <w:pPr>
              <w:widowControl/>
              <w:jc w:val="left"/>
              <w:rPr>
                <w:rFonts w:ascii="宋体" w:hAnsi="宋体"/>
                <w:color w:val="000000"/>
                <w:kern w:val="0"/>
                <w:sz w:val="22"/>
              </w:rPr>
            </w:pPr>
            <w:r>
              <w:rPr>
                <w:rFonts w:hint="eastAsia" w:ascii="宋体" w:hAnsi="宋体"/>
                <w:color w:val="000000"/>
                <w:kern w:val="0"/>
                <w:sz w:val="22"/>
              </w:rPr>
              <w:t>单位：万元</w:t>
            </w:r>
          </w:p>
        </w:tc>
        <w:tc>
          <w:tcPr>
            <w:tcW w:w="249" w:type="dxa"/>
            <w:tcBorders>
              <w:top w:val="nil"/>
              <w:left w:val="nil"/>
              <w:bottom w:val="nil"/>
              <w:right w:val="nil"/>
            </w:tcBorders>
            <w:noWrap w:val="0"/>
            <w:vAlign w:val="bottom"/>
          </w:tcPr>
          <w:p>
            <w:pPr>
              <w:widowControl/>
              <w:jc w:val="left"/>
              <w:rPr>
                <w:rFonts w:ascii="宋体" w:hAnsi="宋体"/>
                <w:color w:val="000000"/>
                <w:kern w:val="0"/>
                <w:sz w:val="22"/>
              </w:rPr>
            </w:pPr>
          </w:p>
        </w:tc>
        <w:tc>
          <w:tcPr>
            <w:tcW w:w="249" w:type="dxa"/>
            <w:tcBorders>
              <w:top w:val="nil"/>
              <w:left w:val="nil"/>
              <w:bottom w:val="nil"/>
              <w:right w:val="nil"/>
            </w:tcBorders>
            <w:noWrap w:val="0"/>
            <w:vAlign w:val="bottom"/>
          </w:tcPr>
          <w:p>
            <w:pPr>
              <w:widowControl/>
              <w:jc w:val="left"/>
              <w:rPr>
                <w:rFonts w:ascii="宋体" w:hAnsi="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克州党委统战部</w:t>
            </w:r>
          </w:p>
        </w:tc>
        <w:tc>
          <w:tcPr>
            <w:tcW w:w="19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特殊工作经费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年度资金总额：</w:t>
            </w:r>
          </w:p>
        </w:tc>
        <w:tc>
          <w:tcPr>
            <w:tcW w:w="2164" w:type="dxa"/>
            <w:gridSpan w:val="2"/>
            <w:tcBorders>
              <w:top w:val="nil"/>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5　</w:t>
            </w:r>
          </w:p>
        </w:tc>
        <w:tc>
          <w:tcPr>
            <w:tcW w:w="18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其中：财政拨款</w:t>
            </w:r>
          </w:p>
        </w:tc>
        <w:tc>
          <w:tcPr>
            <w:tcW w:w="1925" w:type="dxa"/>
            <w:tcBorders>
              <w:top w:val="nil"/>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5　</w:t>
            </w:r>
          </w:p>
        </w:tc>
        <w:tc>
          <w:tcPr>
            <w:tcW w:w="138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val="0"/>
            <w:vAlign w:val="top"/>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一级指标</w:t>
            </w: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kern w:val="0"/>
                <w:sz w:val="18"/>
                <w:szCs w:val="18"/>
              </w:rPr>
            </w:pPr>
            <w:r>
              <w:rPr>
                <w:rFonts w:hint="eastAsia" w:ascii="宋体" w:hAnsi="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项目完成指标</w:t>
            </w: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开展特殊工作经费保障</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kern w:val="0"/>
                <w:sz w:val="18"/>
                <w:szCs w:val="18"/>
              </w:rPr>
            </w:pPr>
            <w:r>
              <w:rPr>
                <w:rFonts w:hint="eastAsia" w:ascii="宋体" w:hAnsi="宋体"/>
                <w:kern w:val="0"/>
                <w:sz w:val="18"/>
                <w:szCs w:val="18"/>
              </w:rPr>
              <w:t>对开展特殊工作的群众及同志进行慰问、交通补助并对开展特殊工作有进展的人员给予奖励</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rPr>
                <w:sz w:val="18"/>
                <w:szCs w:val="18"/>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sz w:val="18"/>
                <w:szCs w:val="18"/>
              </w:rPr>
              <w:t>克州覆盖范围≥97%</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sz w:val="18"/>
                <w:szCs w:val="18"/>
              </w:rPr>
              <w:t>克州覆盖范围≥97%</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sz w:val="18"/>
                <w:szCs w:val="18"/>
              </w:rPr>
              <w:t>开展活动人次≥800人</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sz w:val="18"/>
                <w:szCs w:val="18"/>
              </w:rPr>
              <w:t>开展活动人次≥800人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维护社会稳定和长治久安的意识逐渐提高</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维护社会稳定和长治久安的意识逐渐提高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项目效益指标</w:t>
            </w:r>
          </w:p>
        </w:tc>
        <w:tc>
          <w:tcPr>
            <w:tcW w:w="1857" w:type="dxa"/>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促进和睦和谐，实现新疆社会稳定和长治久安总目标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促进和睦和谐，实现新疆社会稳定和长治久安总目标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414"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kern w:val="0"/>
                <w:sz w:val="18"/>
                <w:szCs w:val="18"/>
              </w:rPr>
            </w:pPr>
            <w:r>
              <w:rPr>
                <w:rFonts w:hint="eastAsia" w:ascii="宋体" w:hAnsi="宋体"/>
                <w:kern w:val="0"/>
                <w:sz w:val="18"/>
                <w:szCs w:val="18"/>
              </w:rPr>
              <w:t>促进和睦和谐，实现新疆社会稳定和长治久安总目标</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促进和睦和谐，实现新疆社会稳定和长治久安总目标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满意度指标</w:t>
            </w:r>
          </w:p>
        </w:tc>
        <w:tc>
          <w:tcPr>
            <w:tcW w:w="185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　满意度95%</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群众满意度96%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185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3773"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numPr>
          <w:ilvl w:val="0"/>
          <w:numId w:val="1"/>
        </w:numPr>
        <w:spacing w:line="520" w:lineRule="exact"/>
        <w:ind w:firstLine="630" w:firstLineChars="196"/>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克孜勒苏柯尔克孜自治州党委统战部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22</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F0971"/>
    <w:multiLevelType w:val="singleLevel"/>
    <w:tmpl w:val="B0AF097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2F2D47"/>
    <w:rsid w:val="0186495E"/>
    <w:rsid w:val="04495BA0"/>
    <w:rsid w:val="077718E3"/>
    <w:rsid w:val="079C5582"/>
    <w:rsid w:val="0A5F454B"/>
    <w:rsid w:val="0E410D70"/>
    <w:rsid w:val="0F3375B9"/>
    <w:rsid w:val="11C85A8D"/>
    <w:rsid w:val="16AE0CFE"/>
    <w:rsid w:val="17867D33"/>
    <w:rsid w:val="187F5A11"/>
    <w:rsid w:val="19382E8F"/>
    <w:rsid w:val="19486C5C"/>
    <w:rsid w:val="1C6B70CA"/>
    <w:rsid w:val="1FE806E2"/>
    <w:rsid w:val="202860BA"/>
    <w:rsid w:val="229E08E4"/>
    <w:rsid w:val="22C05746"/>
    <w:rsid w:val="25870CC5"/>
    <w:rsid w:val="26D2620E"/>
    <w:rsid w:val="29C5481F"/>
    <w:rsid w:val="2D0578A1"/>
    <w:rsid w:val="2EBF7CF7"/>
    <w:rsid w:val="2F824959"/>
    <w:rsid w:val="2F8E5028"/>
    <w:rsid w:val="349379A2"/>
    <w:rsid w:val="37496F66"/>
    <w:rsid w:val="3E4B0563"/>
    <w:rsid w:val="40F67C43"/>
    <w:rsid w:val="47267DDA"/>
    <w:rsid w:val="48FC186D"/>
    <w:rsid w:val="4C53136F"/>
    <w:rsid w:val="4C57524A"/>
    <w:rsid w:val="4E6F40D3"/>
    <w:rsid w:val="50C827B1"/>
    <w:rsid w:val="50F2251F"/>
    <w:rsid w:val="524E3FCA"/>
    <w:rsid w:val="535F39F2"/>
    <w:rsid w:val="578D6F1C"/>
    <w:rsid w:val="5D875448"/>
    <w:rsid w:val="5FD45648"/>
    <w:rsid w:val="62C271F0"/>
    <w:rsid w:val="66F21F88"/>
    <w:rsid w:val="67871E5F"/>
    <w:rsid w:val="6BF830FF"/>
    <w:rsid w:val="6F44308F"/>
    <w:rsid w:val="70E16AC5"/>
    <w:rsid w:val="72BC4426"/>
    <w:rsid w:val="74E4747E"/>
    <w:rsid w:val="7527612A"/>
    <w:rsid w:val="75F32BB6"/>
    <w:rsid w:val="76E4712F"/>
    <w:rsid w:val="7B4F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18</TotalTime>
  <ScaleCrop>false</ScaleCrop>
  <LinksUpToDate>false</LinksUpToDate>
  <CharactersWithSpaces>10542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不忘初心</cp:lastModifiedBy>
  <cp:lastPrinted>2020-11-23T09:59:00Z</cp:lastPrinted>
  <dcterms:modified xsi:type="dcterms:W3CDTF">2020-12-17T09:08:30Z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