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扶贫开发办公室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九、关于克孜勒苏柯尔克孜自治州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br w:type="page"/>
      </w:r>
    </w:p>
    <w:p>
      <w:pPr>
        <w:widowControl/>
        <w:jc w:val="both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克孜勒苏柯尔克孜自治州扶贫开发办公室职能：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贯彻执行国家、自治区扶贫方针政策，研究制定克州扶贫开发战略规划、政策措施并组织实施。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统筹编制国家和自治区用于克州扶贫开发的专项资金、物资分配方案，制定完善扶贫专项资金、物资的管理办法，监督检查物资的管理和使用情况。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会同有关部门提出、审核扶贫开发项目计划，组织、协调和监管扶贫开发项目。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组织实施产业化扶贫计划，引导、扶持扶贫龙头企业发展，协调管理信贷扶贫工作。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编制并组织实施贫困劳动力、贫困地区干部培训计划，协调贫困地区人力资源工作；研究建立贫困地区自然灾害应对机制，指导贫困地区应对自然灾害和灾后重建工作。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组织协调并开展对口支援贫困地区、中央定点帮扶新疆、自治区定点帮扶和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东西部扶贫协作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工作；动员社会各界扶贫济困，协助有关部门向克州引进人才、技术、资金和设备。开展与国际组织、区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组织和非政府组织的反贫困交流合作，组织实施外资扶贫项目。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组织开展扶贫考核评价、扶贫经验交流、扶贫信息搜集、扶贫宣传工作。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国家、自治区关于脱贫攻坚大数据平台建设运用管理工作要求。指导各县（市）做好脱贫攻坚大数据平台建设运用管理工作，加强建设运营管理，统筹抓好组织实施，加强技术支持，强化监督管理，为打好精准脱贫攻坚战奠定坚实基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负责贫困户建档立卡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管理，配合开展扶贫审计工作。</w:t>
      </w:r>
    </w:p>
    <w:p>
      <w:pPr>
        <w:widowControl/>
        <w:numPr>
          <w:ilvl w:val="0"/>
          <w:numId w:val="1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承办克州党委、克州人民政府交办的其他任务。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无下属单位，下设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5个科室，分别是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：综合科、规划科、社会扶贫科、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扶贫信息中心、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 xml:space="preserve">项目管理信息中心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ind w:left="0" w:leftChars="0" w:firstLine="0" w:firstLineChars="0"/>
        <w:jc w:val="left"/>
        <w:outlineLvl w:val="1"/>
        <w:rPr>
          <w:rFonts w:hint="default" w:ascii="仿宋_GB2312" w:hAnsi="宋体" w:eastAsia="仿宋_GB2312"/>
          <w:b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克孜勒苏柯尔克孜自治州扶贫开发办公室              单位：万元          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619.06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569.48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619.06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49.58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619.06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619.06</w:t>
            </w:r>
          </w:p>
        </w:tc>
      </w:tr>
    </w:tbl>
    <w:p>
      <w:pPr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kern w:val="0"/>
          <w:sz w:val="24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      单位：万元</w:t>
      </w:r>
    </w:p>
    <w:tbl>
      <w:tblPr>
        <w:tblStyle w:val="8"/>
        <w:tblW w:w="10130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20"/>
        <w:gridCol w:w="425"/>
        <w:gridCol w:w="1000"/>
        <w:gridCol w:w="777"/>
        <w:gridCol w:w="10"/>
        <w:gridCol w:w="763"/>
        <w:gridCol w:w="550"/>
        <w:gridCol w:w="510"/>
        <w:gridCol w:w="570"/>
        <w:gridCol w:w="510"/>
        <w:gridCol w:w="525"/>
        <w:gridCol w:w="540"/>
        <w:gridCol w:w="555"/>
        <w:gridCol w:w="1174"/>
        <w:gridCol w:w="10"/>
        <w:gridCol w:w="1278"/>
        <w:gridCol w:w="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2" w:hRule="atLeast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319.06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269.48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49.58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一般行政事务管理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其他扶贫支出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both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619.06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49.58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80"/>
        <w:gridCol w:w="480"/>
        <w:gridCol w:w="2291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319.06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319.06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一般行政事务管理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283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其他扶贫支出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619.06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319.06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557.48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542"/>
        <w:gridCol w:w="130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克孜勒苏柯尔克孜自治州扶贫开发办公室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269.48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283.00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其他扶贫支出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557.48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269.48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288.00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8"/>
        <w:gridCol w:w="2891"/>
        <w:gridCol w:w="2006"/>
        <w:gridCol w:w="139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克孜勒苏柯尔克孜自治州扶贫开发办公室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92.61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5.97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17.19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退休费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12.96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lang w:val="en-US" w:eastAsia="zh-CN"/>
              </w:rPr>
              <w:t>269.4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lang w:val="en-US" w:eastAsia="zh-CN"/>
              </w:rPr>
              <w:t>249.61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lang w:val="en-US" w:eastAsia="zh-CN"/>
              </w:rPr>
              <w:t>19.8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lang w:val="en-US" w:eastAsia="zh-CN"/>
              </w:rPr>
              <w:t>7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704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01"/>
        <w:gridCol w:w="420"/>
        <w:gridCol w:w="450"/>
        <w:gridCol w:w="1080"/>
        <w:gridCol w:w="1260"/>
        <w:gridCol w:w="739"/>
        <w:gridCol w:w="543"/>
        <w:gridCol w:w="796"/>
        <w:gridCol w:w="531"/>
        <w:gridCol w:w="493"/>
        <w:gridCol w:w="214"/>
        <w:gridCol w:w="364"/>
        <w:gridCol w:w="419"/>
        <w:gridCol w:w="578"/>
        <w:gridCol w:w="420"/>
        <w:gridCol w:w="420"/>
        <w:gridCol w:w="225"/>
        <w:gridCol w:w="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43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243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克孜勒苏柯尔克孜自治州扶贫开发办公室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0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扶贫项目管理费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3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脱贫攻坚专项经费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223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3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扶贫其他支出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群众工作经费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3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扶贫其他支出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群众工作经费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　</w:t>
            </w:r>
          </w:p>
        </w:tc>
        <w:tc>
          <w:tcPr>
            <w:tcW w:w="7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3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3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3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outlineLvl w:val="1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.00</w:t>
            </w:r>
          </w:p>
        </w:tc>
        <w:tc>
          <w:tcPr>
            <w:tcW w:w="53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ind w:firstLine="240" w:firstLineChars="1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34.00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ind w:firstLine="240" w:firstLineChars="10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rPr>
          <w:rFonts w:hint="eastAsia" w:ascii="仿宋_GB2312" w:hAnsi="宋体" w:eastAsia="仿宋_GB2312"/>
          <w:b/>
          <w:kern w:val="0"/>
          <w:sz w:val="28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br w:type="page"/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按照全口径预算的原则，克孜勒苏柯尔克孜自治州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扶贫开发办公室2020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619.06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557.48万元，上级专项收入12万元，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（其他收入）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49.58万元。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619.06万元。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预算合计619.06万元，其中：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557.48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180.49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新增脱贫攻坚专项经费223万元。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上级专项收入12万元，占1.94%，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比上年增长100%。主要原因是：2020年预算中安排上级专项收入资金主要是用于开展群众工作经费，上年预算中未做此项目的预算。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49.58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2546.66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移民安置工作的项目资金未纳入到2020年度预算。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   </w:t>
      </w:r>
    </w:p>
    <w:p>
      <w:pPr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619.06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319.06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2213.22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移民项目较多，项目拨付资金按工程每个阶段验收情况进行拨付，拨付资金情况不能确定，为缩小预决算差异率，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移民项目资金未做预算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：为了全面做好脱贫攻坚工作，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新增脱贫攻坚专项经费223万元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、扶贫项目管理费较上年增加11万元。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557.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支出预算包括：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557.48万元,主要用于人员经费、公用经费、扶贫项目管理、脱贫攻坚专项经费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克孜勒苏柯尔克孜自治州扶贫开发办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共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预算当年拨款规模变化情况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269.48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减少43.55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减少13.91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去年基本支出和项目支出在同一个款项。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克孜勒苏柯尔克孜自治州扶贫开发办公室2020年一般公共预算拨款项目支出300万元，比上年执行数增加234万元，增加354.54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。主要原因：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今年新增脱贫攻坚专项经费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223万元，扶贫项目管理费预算也较上年增加11万元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.一般公共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预算农林水支出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213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557.48</w:t>
      </w:r>
      <w:r>
        <w:rPr>
          <w:rFonts w:hint="eastAsia" w:ascii="仿宋_GB2312" w:eastAsia="仿宋_GB2312"/>
          <w:color w:val="auto"/>
          <w:sz w:val="32"/>
          <w:szCs w:val="32"/>
        </w:rPr>
        <w:t>万元，占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一般公共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预算农林水支出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扶贫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2020年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269.48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281.83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51.13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去年基本支出和项目支出在同一个款项。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一般公共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预算农林水支出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扶贫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一般行政管理事务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2020年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234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477.55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因脱贫攻坚工作需要，今年新增了脱贫攻坚专项经费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223万元，扶贫项目管理费也较上年增加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一般公共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预算农林水支出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扶贫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其他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扶贫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2020年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与上年执行数相同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克孜勒苏柯尔克孜自治州扶贫开发办公室2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269.48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249.61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92.61万元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17.19万元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8.36万元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扶贫项目管理费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新财扶（2017）33号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克州扶贫办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州本级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配套60万元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脱贫攻坚专项经费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克财预（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2020）1号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223万元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克州扶贫办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州本级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配套223万元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按上级批示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克州扶贫办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州本级配套5万元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按上级批示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克州扶贫办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配套12万元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2020年阿克陶县摘帽退出，因距阿图什市路途远、工作组人员多，指导工作量大，车辆运行费相应增加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会议费，培训费纳入公务接待费预算安排，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年只做公务接待费用预算，会议费，培训费未列入三公经费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克孜勒苏柯尔克孜自治州扶贫开发办公室2020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其他重要事项的情况说明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机关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年初预算结构进行调整，将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22万元公用经费调为项目经费，公用经费相应减少。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克孜勒苏柯尔克孜自治州扶贫开发办公室及下属单位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2020年</w:t>
      </w:r>
      <w:r>
        <w:rPr>
          <w:rFonts w:hint="eastAsia" w:ascii="仿宋_GB2312" w:hAnsi="仿宋_GB2312" w:eastAsia="仿宋_GB2312"/>
          <w:sz w:val="32"/>
        </w:rPr>
        <w:t>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131.71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59.87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克孜勒苏柯尔克孜自治州扶贫开发办公室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143.3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3" w:firstLineChars="200"/>
        <w:textAlignment w:val="auto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tbl>
      <w:tblPr>
        <w:tblStyle w:val="8"/>
        <w:tblpPr w:leftFromText="180" w:rightFromText="180" w:vertAnchor="text" w:horzAnchor="page" w:tblpX="1652" w:tblpY="53"/>
        <w:tblOverlap w:val="never"/>
        <w:tblW w:w="13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</w:trPr>
        <w:tc>
          <w:tcPr>
            <w:tcW w:w="13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8"/>
              <w:tblW w:w="13425" w:type="dxa"/>
              <w:tblInd w:w="19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04"/>
              <w:gridCol w:w="1857"/>
              <w:gridCol w:w="2164"/>
              <w:gridCol w:w="1810"/>
              <w:gridCol w:w="623"/>
              <w:gridCol w:w="1302"/>
              <w:gridCol w:w="1381"/>
              <w:gridCol w:w="17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342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克孜勒苏柯尔克孜自治州扶贫开发办公室</w:t>
                  </w:r>
                </w:p>
              </w:tc>
              <w:tc>
                <w:tcPr>
                  <w:tcW w:w="19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316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扶贫项目管理费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50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60万元</w:t>
                  </w:r>
                </w:p>
              </w:tc>
              <w:tc>
                <w:tcPr>
                  <w:tcW w:w="18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92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60万元</w:t>
                  </w:r>
                </w:p>
              </w:tc>
              <w:tc>
                <w:tcPr>
                  <w:tcW w:w="13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7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5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0921" w:type="dxa"/>
                  <w:gridSpan w:val="7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督查各县市扶贫项目的进展情况，统计扶贫项目的项目开展和完成情况，确保项目顺利实施,促进贫困群众稳定增收。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车辆维护费(万元)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办公费、会议培训费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(万元)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督查项目人员差旅费(万元)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项目完成期限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1月-12月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督查三县一市扶贫产业项目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督查项目≧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398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个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督查项目工程的覆盖率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督查项目工程覆盖率95%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50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经济效益指标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扶贫项目建设后的成果综合利用率（%）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100%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精准发力，确保扶贫资金落到实处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效果显著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生态效益指标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504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受益群体满意度（%）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满意率96%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" w:hRule="atLeast"/>
              </w:trPr>
              <w:tc>
                <w:tcPr>
                  <w:tcW w:w="2504" w:type="dxa"/>
                  <w:vMerge w:val="continue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3"/>
                  <w:tcBorders>
                    <w:top w:val="single" w:color="000000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left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467" w:type="dxa"/>
                  <w:gridSpan w:val="3"/>
                  <w:tcBorders>
                    <w:top w:val="single" w:color="000000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/>
                    <w:ind w:left="0" w:leftChars="0" w:right="0"/>
                    <w:jc w:val="center"/>
                    <w:textAlignment w:val="auto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2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克孜勒苏柯尔克孜自治州扶贫开发办公室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脱贫攻坚专项经费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223万元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223万元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53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2020年实现1.17万人脱贫、38个贫困村退出、阿克陶县“摘帽”。乌恰县，阿合奇脱贫成果巩固提升，阿图什通过第三方评估验收。2020年实现全州现行标准下的农村贫困人口全部脱贫、贫困县（市）全部摘帽、区域性整体贫困问题得到解决，努力与全疆全国同步迈入小康社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车辆维护费(万元)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、人员差旅费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人员培训，及办公设置购置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工作期限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退出村（个）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入户摸底天数(天)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入户天数≧300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脱贫工作指导覆盖率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覆盖率≧99%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贫困发生率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帮助和指导基层脱贫攻坚工作，提高基层工作效率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巩固提升脱贫成果，抓好返贫监测预警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受益群体满意度（%）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满意率96%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2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68" w:tblpY="386"/>
        <w:tblOverlap w:val="never"/>
        <w:tblW w:w="14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871"/>
        <w:gridCol w:w="2180"/>
        <w:gridCol w:w="1824"/>
        <w:gridCol w:w="1940"/>
        <w:gridCol w:w="251"/>
        <w:gridCol w:w="1140"/>
        <w:gridCol w:w="2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4819" w:firstLineChars="1500"/>
              <w:jc w:val="both"/>
              <w:textAlignment w:val="auto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克孜勒苏柯尔克孜自治州扶贫开发办公室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拨款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保障工作人员的生活质量和工作积极性，聚集总目标，使广大群众充分了解党的惠民政策，提高劳动生产，增加农牧民收入，表彰先致富人员，提高农牧民的积极性，达到共同富裕。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工作队车辆加油（万元）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办公费（万元）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、开展各类活动（万元）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工作期限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工作期限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工作队车辆加油（升）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开展各类活动（次）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10次以上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（按实际情况定）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参加活动人员覆盖率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让群众知党恩，感党恩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提高为农牧民服务意识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效果显著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让群众知党恩，感党恩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≧96%　</w:t>
            </w:r>
          </w:p>
        </w:tc>
      </w:tr>
    </w:tbl>
    <w:tbl>
      <w:tblPr>
        <w:tblStyle w:val="8"/>
        <w:tblpPr w:leftFromText="180" w:rightFromText="180" w:vertAnchor="text" w:horzAnchor="page" w:tblpX="1538" w:tblpY="143"/>
        <w:tblOverlap w:val="never"/>
        <w:tblW w:w="139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克孜勒苏柯尔克孜自治州扶贫开发办公室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12万元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12万元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该项目资金用于解决群众生产生活中的困难，为农牧民办实事，好事。通过该项目的实施，使农牧民了解党的惠民政策，提高劳动生产力，提高农牧民的致富积极性，达到共同富裕，维护社会长治久安。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为民办实事工作经费（万元）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为民办好事时间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1月-12月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为民办实事好事（次）解决村容村貌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24次（按实际情况定）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慰问困难群众（人）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10次以上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（按实际情况定）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走访群众覆盖率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让群众知党恩，感党恩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显著提高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让群众知党恩，感党恩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效果显著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/>
              <w:jc w:val="center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≧96%　</w:t>
            </w:r>
          </w:p>
        </w:tc>
      </w:tr>
    </w:tbl>
    <w:p>
      <w:pPr>
        <w:tabs>
          <w:tab w:val="left" w:pos="589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800" w:right="1440" w:bottom="2372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无其他说明的情况。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hint="eastAsia" w:ascii="黑体" w:hAnsi="黑体" w:eastAsia="黑体"/>
          <w:sz w:val="32"/>
          <w:szCs w:val="32"/>
        </w:rPr>
        <w:sectPr>
          <w:footerReference r:id="rId7" w:type="default"/>
          <w:pgSz w:w="11906" w:h="16838"/>
          <w:pgMar w:top="1985" w:right="1531" w:bottom="1843" w:left="1531" w:header="851" w:footer="992" w:gutter="0"/>
          <w:pgNumType w:fmt="numberInDash" w:start="27"/>
          <w:cols w:space="425" w:num="1"/>
          <w:docGrid w:type="lines" w:linePitch="312" w:charSpace="640"/>
        </w:sectPr>
      </w:pP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克孜勒苏柯尔克孜自治州扶贫开发办公室  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2020年01月23日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footerReference r:id="rId8" w:type="default"/>
      <w:pgSz w:w="11906" w:h="16838"/>
      <w:pgMar w:top="1985" w:right="1531" w:bottom="1843" w:left="1531" w:header="851" w:footer="992" w:gutter="0"/>
      <w:pgNumType w:fmt="numberInDash" w:start="27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83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26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83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27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83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2FF5"/>
    <w:multiLevelType w:val="singleLevel"/>
    <w:tmpl w:val="30182FF5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B4DE28"/>
    <w:multiLevelType w:val="singleLevel"/>
    <w:tmpl w:val="53B4DE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B02522"/>
    <w:rsid w:val="02F0100F"/>
    <w:rsid w:val="0331599E"/>
    <w:rsid w:val="036B67E9"/>
    <w:rsid w:val="04F14559"/>
    <w:rsid w:val="0572409D"/>
    <w:rsid w:val="05816D21"/>
    <w:rsid w:val="05913154"/>
    <w:rsid w:val="05F5260D"/>
    <w:rsid w:val="07E06094"/>
    <w:rsid w:val="09452D8A"/>
    <w:rsid w:val="0AE6657F"/>
    <w:rsid w:val="0B152804"/>
    <w:rsid w:val="0CFE352F"/>
    <w:rsid w:val="0DB74282"/>
    <w:rsid w:val="0DE31A7B"/>
    <w:rsid w:val="0E111F8B"/>
    <w:rsid w:val="0E2B367E"/>
    <w:rsid w:val="0F3E0F58"/>
    <w:rsid w:val="0FEA2038"/>
    <w:rsid w:val="101C1080"/>
    <w:rsid w:val="101F5A0D"/>
    <w:rsid w:val="1146227E"/>
    <w:rsid w:val="129E6E72"/>
    <w:rsid w:val="12AC7A28"/>
    <w:rsid w:val="12F92C6E"/>
    <w:rsid w:val="13C4511C"/>
    <w:rsid w:val="1549354F"/>
    <w:rsid w:val="15660DD6"/>
    <w:rsid w:val="160354F6"/>
    <w:rsid w:val="16FC6C98"/>
    <w:rsid w:val="18165FAB"/>
    <w:rsid w:val="18766C81"/>
    <w:rsid w:val="1897778F"/>
    <w:rsid w:val="18A861BA"/>
    <w:rsid w:val="18D0082E"/>
    <w:rsid w:val="192D73AA"/>
    <w:rsid w:val="194838C4"/>
    <w:rsid w:val="19DA420C"/>
    <w:rsid w:val="1A2A0F02"/>
    <w:rsid w:val="1A9229FD"/>
    <w:rsid w:val="1B0F267C"/>
    <w:rsid w:val="1C1C0F93"/>
    <w:rsid w:val="1CE22A87"/>
    <w:rsid w:val="1ECA3A89"/>
    <w:rsid w:val="206271A4"/>
    <w:rsid w:val="208D13B2"/>
    <w:rsid w:val="214A519A"/>
    <w:rsid w:val="22994F33"/>
    <w:rsid w:val="24EC692E"/>
    <w:rsid w:val="25A241F5"/>
    <w:rsid w:val="25AD31E7"/>
    <w:rsid w:val="270E42D5"/>
    <w:rsid w:val="270F316D"/>
    <w:rsid w:val="27C45C12"/>
    <w:rsid w:val="2CCB4210"/>
    <w:rsid w:val="2D5D0634"/>
    <w:rsid w:val="2E110782"/>
    <w:rsid w:val="2E1E2EEE"/>
    <w:rsid w:val="2F980AE5"/>
    <w:rsid w:val="32F33959"/>
    <w:rsid w:val="36E63120"/>
    <w:rsid w:val="371B5FF5"/>
    <w:rsid w:val="383852E1"/>
    <w:rsid w:val="384B560C"/>
    <w:rsid w:val="38D1550D"/>
    <w:rsid w:val="3967394E"/>
    <w:rsid w:val="39CB7511"/>
    <w:rsid w:val="39DB4BE9"/>
    <w:rsid w:val="3A0B220D"/>
    <w:rsid w:val="3B0635C7"/>
    <w:rsid w:val="3B246775"/>
    <w:rsid w:val="3BEC5DA9"/>
    <w:rsid w:val="3ECB1ECD"/>
    <w:rsid w:val="40117A8E"/>
    <w:rsid w:val="41BA7FF4"/>
    <w:rsid w:val="41BC0354"/>
    <w:rsid w:val="42DC1A44"/>
    <w:rsid w:val="434A51A2"/>
    <w:rsid w:val="44BC08F8"/>
    <w:rsid w:val="458569ED"/>
    <w:rsid w:val="464B6AFD"/>
    <w:rsid w:val="46F90487"/>
    <w:rsid w:val="476252BB"/>
    <w:rsid w:val="49261C7A"/>
    <w:rsid w:val="49894552"/>
    <w:rsid w:val="4A29068E"/>
    <w:rsid w:val="4A4B2A5E"/>
    <w:rsid w:val="4B647CD2"/>
    <w:rsid w:val="4CE139A5"/>
    <w:rsid w:val="4FDF3737"/>
    <w:rsid w:val="4FEE3434"/>
    <w:rsid w:val="533C7932"/>
    <w:rsid w:val="54D5487E"/>
    <w:rsid w:val="58B2477C"/>
    <w:rsid w:val="59104059"/>
    <w:rsid w:val="594C2EEF"/>
    <w:rsid w:val="5AD60CE5"/>
    <w:rsid w:val="5D0D626F"/>
    <w:rsid w:val="5D764D18"/>
    <w:rsid w:val="5DAD53BE"/>
    <w:rsid w:val="5DCD5089"/>
    <w:rsid w:val="5F014035"/>
    <w:rsid w:val="60C527C1"/>
    <w:rsid w:val="615D2027"/>
    <w:rsid w:val="620F75D4"/>
    <w:rsid w:val="63674333"/>
    <w:rsid w:val="63FB612D"/>
    <w:rsid w:val="64DE365D"/>
    <w:rsid w:val="666C2EBB"/>
    <w:rsid w:val="67D77E53"/>
    <w:rsid w:val="68BD562D"/>
    <w:rsid w:val="69691DE5"/>
    <w:rsid w:val="6AE66E4D"/>
    <w:rsid w:val="6BD35154"/>
    <w:rsid w:val="6DF75E87"/>
    <w:rsid w:val="6E381289"/>
    <w:rsid w:val="6F484E8A"/>
    <w:rsid w:val="70CC3935"/>
    <w:rsid w:val="715F2CA6"/>
    <w:rsid w:val="71A444B2"/>
    <w:rsid w:val="728F1A20"/>
    <w:rsid w:val="73C211EB"/>
    <w:rsid w:val="74AD040D"/>
    <w:rsid w:val="7675384C"/>
    <w:rsid w:val="772374B5"/>
    <w:rsid w:val="7816076F"/>
    <w:rsid w:val="78505D65"/>
    <w:rsid w:val="78743D69"/>
    <w:rsid w:val="788E438E"/>
    <w:rsid w:val="79DD2FFA"/>
    <w:rsid w:val="7A045208"/>
    <w:rsid w:val="7B7F7BB8"/>
    <w:rsid w:val="7B9D00BF"/>
    <w:rsid w:val="7BA80DC0"/>
    <w:rsid w:val="7C433066"/>
    <w:rsid w:val="7C5F2DC0"/>
    <w:rsid w:val="7C75783A"/>
    <w:rsid w:val="7F3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9"/>
    <w:semiHidden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字符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basedOn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9">
    <w:name w:val="批注框文本 字符1"/>
    <w:link w:val="3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1">
    <w:name w:val="正文文本缩进 3 字符1"/>
    <w:link w:val="6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8333</Words>
  <Characters>9432</Characters>
  <Lines>74</Lines>
  <Paragraphs>21</Paragraphs>
  <TotalTime>1</TotalTime>
  <ScaleCrop>false</ScaleCrop>
  <LinksUpToDate>false</LinksUpToDate>
  <CharactersWithSpaces>10519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2021-05-19T02:37:22Z</cp:lastPrinted>
  <dcterms:modified xsi:type="dcterms:W3CDTF">2021-05-19T02:37:49Z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