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outlineLvl w:val="0"/>
        <w:rPr>
          <w:rFonts w:hint="eastAsia" w:cs="Segoe UI" w:asciiTheme="majorEastAsia" w:hAnsiTheme="majorEastAsia" w:eastAsiaTheme="majorEastAsia"/>
          <w:b/>
          <w:bCs/>
          <w:color w:val="auto"/>
          <w:kern w:val="36"/>
          <w:sz w:val="44"/>
          <w:szCs w:val="44"/>
        </w:rPr>
      </w:pPr>
      <w:r>
        <w:rPr>
          <w:rFonts w:hint="eastAsia" w:cs="Segoe UI" w:asciiTheme="majorEastAsia" w:hAnsiTheme="majorEastAsia" w:eastAsiaTheme="majorEastAsia"/>
          <w:b/>
          <w:bCs/>
          <w:color w:val="auto"/>
          <w:kern w:val="36"/>
          <w:sz w:val="44"/>
          <w:szCs w:val="44"/>
        </w:rPr>
        <w:t>克</w:t>
      </w:r>
      <w:r>
        <w:rPr>
          <w:rFonts w:hint="eastAsia" w:cs="Segoe UI" w:asciiTheme="majorEastAsia" w:hAnsiTheme="majorEastAsia" w:eastAsiaTheme="majorEastAsia"/>
          <w:b/>
          <w:bCs/>
          <w:color w:val="auto"/>
          <w:kern w:val="36"/>
          <w:sz w:val="44"/>
          <w:szCs w:val="44"/>
          <w:lang w:eastAsia="zh-CN"/>
        </w:rPr>
        <w:t>孜勒苏柯尔克孜自治</w:t>
      </w:r>
      <w:r>
        <w:rPr>
          <w:rFonts w:hint="eastAsia" w:cs="Segoe UI" w:asciiTheme="majorEastAsia" w:hAnsiTheme="majorEastAsia" w:eastAsiaTheme="majorEastAsia"/>
          <w:b/>
          <w:bCs/>
          <w:color w:val="auto"/>
          <w:kern w:val="36"/>
          <w:sz w:val="44"/>
          <w:szCs w:val="44"/>
        </w:rPr>
        <w:t>州草原监理所</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jc w:val="center"/>
        <w:textAlignment w:val="auto"/>
        <w:outlineLvl w:val="0"/>
        <w:rPr>
          <w:rFonts w:hint="eastAsia" w:cs="Segoe UI" w:asciiTheme="majorEastAsia" w:hAnsiTheme="majorEastAsia" w:eastAsiaTheme="majorEastAsia"/>
          <w:b/>
          <w:bCs/>
          <w:color w:val="auto"/>
          <w:kern w:val="36"/>
          <w:sz w:val="44"/>
          <w:szCs w:val="44"/>
        </w:rPr>
      </w:pPr>
      <w:r>
        <w:rPr>
          <w:rFonts w:hint="eastAsia" w:cs="Segoe UI" w:asciiTheme="majorEastAsia" w:hAnsiTheme="majorEastAsia" w:eastAsiaTheme="majorEastAsia"/>
          <w:b/>
          <w:bCs/>
          <w:color w:val="auto"/>
          <w:kern w:val="36"/>
          <w:sz w:val="44"/>
          <w:szCs w:val="44"/>
        </w:rPr>
        <w:t>201</w:t>
      </w:r>
      <w:r>
        <w:rPr>
          <w:rFonts w:hint="eastAsia" w:cs="Segoe UI" w:asciiTheme="majorEastAsia" w:hAnsiTheme="majorEastAsia" w:eastAsiaTheme="majorEastAsia"/>
          <w:b/>
          <w:bCs/>
          <w:color w:val="auto"/>
          <w:kern w:val="36"/>
          <w:sz w:val="44"/>
          <w:szCs w:val="44"/>
          <w:lang w:val="en-US" w:eastAsia="zh-CN"/>
        </w:rPr>
        <w:t>9</w:t>
      </w:r>
      <w:r>
        <w:rPr>
          <w:rFonts w:hint="eastAsia" w:cs="Segoe UI" w:asciiTheme="majorEastAsia" w:hAnsiTheme="majorEastAsia" w:eastAsiaTheme="majorEastAsia"/>
          <w:b/>
          <w:bCs/>
          <w:color w:val="auto"/>
          <w:kern w:val="36"/>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500" w:lineRule="exact"/>
        <w:jc w:val="center"/>
        <w:outlineLvl w:val="1"/>
        <w:rPr>
          <w:rFonts w:hint="eastAsia" w:ascii="黑体" w:hAnsi="黑体" w:eastAsia="黑体"/>
          <w:kern w:val="0"/>
          <w:sz w:val="44"/>
          <w:szCs w:val="44"/>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widowControl/>
        <w:spacing w:line="500" w:lineRule="exact"/>
        <w:jc w:val="center"/>
        <w:outlineLvl w:val="1"/>
        <w:rPr>
          <w:rFonts w:ascii="黑体" w:hAnsi="黑体" w:eastAsia="黑体"/>
          <w:kern w:val="0"/>
          <w:sz w:val="44"/>
          <w:szCs w:val="44"/>
        </w:rPr>
      </w:pPr>
      <w:r>
        <w:rPr>
          <w:rFonts w:hint="eastAsia" w:ascii="黑体" w:hAnsi="黑体" w:eastAsia="黑体"/>
          <w:kern w:val="0"/>
          <w:sz w:val="44"/>
          <w:szCs w:val="44"/>
        </w:rPr>
        <w:t>目录</w:t>
      </w:r>
    </w:p>
    <w:p>
      <w:pPr>
        <w:widowControl/>
        <w:spacing w:line="500" w:lineRule="exact"/>
        <w:jc w:val="center"/>
        <w:outlineLvl w:val="1"/>
        <w:rPr>
          <w:rFonts w:ascii="宋体" w:hAnsi="宋体"/>
          <w:b/>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b/>
          <w:color w:val="auto"/>
          <w:kern w:val="0"/>
          <w:sz w:val="32"/>
          <w:szCs w:val="32"/>
        </w:rPr>
      </w:pPr>
      <w:r>
        <w:rPr>
          <w:rFonts w:hint="eastAsia" w:ascii="仿宋_GB2312" w:hAnsi="仿宋_GB2312" w:eastAsia="仿宋_GB2312" w:cs="宋体"/>
          <w:b/>
          <w:color w:val="auto"/>
          <w:kern w:val="0"/>
          <w:sz w:val="32"/>
          <w:szCs w:val="32"/>
        </w:rPr>
        <w:t>第一部分 </w:t>
      </w:r>
      <w:r>
        <w:rPr>
          <w:rFonts w:hint="eastAsia" w:ascii="仿宋_GB2312" w:hAnsi="仿宋_GB2312" w:eastAsia="仿宋_GB2312" w:cs="宋体"/>
          <w:b/>
          <w:color w:val="auto"/>
          <w:kern w:val="0"/>
          <w:sz w:val="32"/>
          <w:szCs w:val="32"/>
          <w:lang w:eastAsia="zh-CN"/>
        </w:rPr>
        <w:t>克孜勒苏柯尔克孜自治州</w:t>
      </w:r>
      <w:r>
        <w:rPr>
          <w:rFonts w:hint="eastAsia" w:ascii="仿宋_GB2312" w:hAnsi="仿宋_GB2312" w:eastAsia="仿宋_GB2312" w:cs="宋体"/>
          <w:b/>
          <w:color w:val="auto"/>
          <w:kern w:val="0"/>
          <w:sz w:val="32"/>
          <w:szCs w:val="32"/>
        </w:rPr>
        <w:t>草原监理所单位概况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一、主要职能</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二、机构设置及人员情况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b/>
          <w:color w:val="auto"/>
          <w:kern w:val="0"/>
          <w:sz w:val="32"/>
          <w:szCs w:val="32"/>
        </w:rPr>
      </w:pPr>
      <w:r>
        <w:rPr>
          <w:rFonts w:hint="eastAsia" w:ascii="仿宋_GB2312" w:hAnsi="仿宋_GB2312" w:eastAsia="仿宋_GB2312" w:cs="宋体"/>
          <w:b/>
          <w:color w:val="auto"/>
          <w:kern w:val="0"/>
          <w:sz w:val="32"/>
          <w:szCs w:val="32"/>
        </w:rPr>
        <w:t>第二部分 201</w:t>
      </w:r>
      <w:r>
        <w:rPr>
          <w:rFonts w:hint="eastAsia" w:ascii="仿宋_GB2312" w:hAnsi="仿宋_GB2312" w:eastAsia="仿宋_GB2312" w:cs="宋体"/>
          <w:b/>
          <w:color w:val="auto"/>
          <w:kern w:val="0"/>
          <w:sz w:val="32"/>
          <w:szCs w:val="32"/>
          <w:lang w:val="en-US" w:eastAsia="zh-CN"/>
        </w:rPr>
        <w:t>9</w:t>
      </w:r>
      <w:r>
        <w:rPr>
          <w:rFonts w:hint="eastAsia" w:ascii="仿宋_GB2312" w:hAnsi="仿宋_GB2312" w:eastAsia="仿宋_GB2312" w:cs="宋体"/>
          <w:b/>
          <w:color w:val="auto"/>
          <w:kern w:val="0"/>
          <w:sz w:val="32"/>
          <w:szCs w:val="32"/>
        </w:rPr>
        <w:t>年部门预算公开表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一、部门收支总体情况表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二、部门收入总体情况表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三、部门支出总体情况表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四、财政拨款收支总体情况表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五、一般公共预算支出情况表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六、一般公共预算基本支出情况表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七、项目支出情况表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八、一般公共预算“三公”经费支出情况表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九、政府性基金预算支出情况表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b/>
          <w:color w:val="auto"/>
          <w:kern w:val="0"/>
          <w:sz w:val="32"/>
          <w:szCs w:val="32"/>
        </w:rPr>
      </w:pPr>
      <w:r>
        <w:rPr>
          <w:rFonts w:hint="eastAsia" w:ascii="仿宋_GB2312" w:hAnsi="仿宋_GB2312" w:eastAsia="仿宋_GB2312" w:cs="宋体"/>
          <w:b/>
          <w:color w:val="auto"/>
          <w:kern w:val="0"/>
          <w:sz w:val="32"/>
          <w:szCs w:val="32"/>
        </w:rPr>
        <w:t>第三部分 201</w:t>
      </w:r>
      <w:r>
        <w:rPr>
          <w:rFonts w:hint="eastAsia" w:ascii="仿宋_GB2312" w:hAnsi="仿宋_GB2312" w:eastAsia="仿宋_GB2312" w:cs="宋体"/>
          <w:b/>
          <w:color w:val="auto"/>
          <w:kern w:val="0"/>
          <w:sz w:val="32"/>
          <w:szCs w:val="32"/>
          <w:lang w:val="en-US" w:eastAsia="zh-CN"/>
        </w:rPr>
        <w:t>9</w:t>
      </w:r>
      <w:r>
        <w:rPr>
          <w:rFonts w:hint="eastAsia" w:ascii="仿宋_GB2312" w:hAnsi="仿宋_GB2312" w:eastAsia="仿宋_GB2312" w:cs="宋体"/>
          <w:b/>
          <w:color w:val="auto"/>
          <w:kern w:val="0"/>
          <w:sz w:val="32"/>
          <w:szCs w:val="32"/>
        </w:rPr>
        <w:t>年部门预算情况说明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一、关于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年收支预算情况的总体说明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二、关于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年收入预算情况说明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三、关于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年支出预算情况说明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四、关于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年财政拨款收支预算情况的总体说明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五、关于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年一般公共预算当年拨款情况说明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六、关于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年一般公共预算基本支出情况说明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七、关于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年项目支出情况说明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八、关于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年一般公共预算“三公”经费预算情况说明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九、关于</w:t>
      </w: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草原监理所部门201</w:t>
      </w:r>
      <w:r>
        <w:rPr>
          <w:rFonts w:hint="eastAsia" w:ascii="仿宋_GB2312" w:hAnsi="仿宋_GB2312" w:eastAsia="仿宋_GB2312" w:cs="宋体"/>
          <w:color w:val="auto"/>
          <w:kern w:val="0"/>
          <w:sz w:val="32"/>
          <w:szCs w:val="32"/>
          <w:lang w:val="en-US" w:eastAsia="zh-CN"/>
        </w:rPr>
        <w:t>9</w:t>
      </w:r>
      <w:r>
        <w:rPr>
          <w:rFonts w:hint="eastAsia" w:ascii="仿宋_GB2312" w:hAnsi="仿宋_GB2312" w:eastAsia="仿宋_GB2312" w:cs="宋体"/>
          <w:color w:val="auto"/>
          <w:kern w:val="0"/>
          <w:sz w:val="32"/>
          <w:szCs w:val="32"/>
        </w:rPr>
        <w:t>年政府性基金预算拨款情况说明</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atLeast"/>
        <w:ind w:firstLine="482"/>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十、其他重要事项的情况说明</w:t>
      </w:r>
    </w:p>
    <w:p>
      <w:pPr>
        <w:widowControl/>
        <w:spacing w:line="46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p>
    <w:p>
      <w:pPr>
        <w:widowControl/>
        <w:jc w:val="center"/>
        <w:outlineLvl w:val="1"/>
        <w:rPr>
          <w:rFonts w:hint="eastAsia"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w:t>
      </w:r>
      <w:r>
        <w:rPr>
          <w:rFonts w:hint="eastAsia" w:ascii="黑体" w:hAnsi="黑体" w:eastAsia="黑体"/>
          <w:kern w:val="0"/>
          <w:sz w:val="32"/>
          <w:szCs w:val="32"/>
        </w:rPr>
        <w:t>草原监理所</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部门单位概况</w:t>
      </w:r>
    </w:p>
    <w:p>
      <w:pPr>
        <w:widowControl/>
        <w:spacing w:line="560" w:lineRule="exact"/>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240" w:lineRule="atLeast"/>
        <w:ind w:firstLine="640" w:firstLineChars="200"/>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rPr>
        <w:t>宣传、贯彻执行国家草原法律法规，保证草原法律法规、政策及时、有效的贯彻执行；依法管理和保护草原，在合理利用草原的前提下，对核定载畜量、草场生产能力、牲畜转场等活动进行日常监测，及时发现问题并纠正，履行草原保护的预防职能；负责草原所有权、使用权的登记审核及权属纠纷、争议解决工作，受同级政府委托，办理草原权属证明的发放及管理工作；依据国家草原法律法规的规定，管理和处理违反国家草原法律法规的各种行为；编制草原监理，草原保护工作规划和计划，经批准，发布后组织实施；编制草原资源动态监测规划、计划，整理和完善全州草地，对全州草原系统变化趋势进行监测和预警，为畜牧业提供草原生产资料方面的第一手情报；对退耕还草、禁牧、轮牧及生态移民围栏区执行情况进行监督检查和管护；办理草原国家建设征（拨）用、临时使用及开垦草原的沙土开发项目的审核及牧民、牧业单位补偿、安置工作，受畜牧主管部门委托，核发有关证明文件，征缴有关费用工作；审核采挖草原药用、经济植物许可事宜，对收购草原药用、经济植物的生产厂家驻厂检查登记工作；宣传贯彻，执行国家《草原防火条例》和《自治区草原防火实施办法》；组织划定草原防火责任区，确定草原防火责任单位，建立草原防火责任制度，并进行检查、监督；组织开展预防草原防火期内预防、扑救草原火灾的准备，落实工作，维护保养草原防火设施，消防火灾隐患；组织指挥扑救草原火灾，依法对草原火灾肇事人进行调查、处罚；进行草原火灾全面统计，建立火灾档案。</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hint="eastAsia" w:ascii="仿宋_GB2312" w:hAnsi="仿宋_GB2312" w:eastAsia="仿宋_GB2312" w:cs="宋体"/>
          <w:color w:val="auto"/>
          <w:kern w:val="0"/>
          <w:sz w:val="32"/>
          <w:szCs w:val="32"/>
          <w:lang w:eastAsia="zh-CN"/>
        </w:rPr>
      </w:pP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草原监理所无下属预算单位，下设</w:t>
      </w:r>
      <w:r>
        <w:rPr>
          <w:rFonts w:hint="eastAsia" w:ascii="仿宋_GB2312" w:hAnsi="仿宋_GB2312" w:eastAsia="仿宋_GB2312" w:cs="宋体"/>
          <w:color w:val="auto"/>
          <w:kern w:val="0"/>
          <w:sz w:val="32"/>
          <w:szCs w:val="32"/>
          <w:lang w:val="en-US" w:eastAsia="zh-CN"/>
        </w:rPr>
        <w:t>4</w:t>
      </w:r>
      <w:r>
        <w:rPr>
          <w:rFonts w:hint="eastAsia" w:ascii="仿宋_GB2312" w:hAnsi="仿宋_GB2312" w:eastAsia="仿宋_GB2312" w:cs="宋体"/>
          <w:color w:val="auto"/>
          <w:kern w:val="0"/>
          <w:sz w:val="32"/>
          <w:szCs w:val="32"/>
        </w:rPr>
        <w:t>个科室</w:t>
      </w:r>
      <w:r>
        <w:rPr>
          <w:rFonts w:hint="eastAsia" w:ascii="仿宋_GB2312" w:hAnsi="仿宋_GB2312" w:eastAsia="仿宋_GB2312" w:cs="宋体"/>
          <w:color w:val="auto"/>
          <w:kern w:val="0"/>
          <w:sz w:val="32"/>
          <w:szCs w:val="32"/>
          <w:lang w:eastAsia="zh-CN"/>
        </w:rPr>
        <w:t>，分别是：</w:t>
      </w:r>
      <w:r>
        <w:rPr>
          <w:rFonts w:hint="eastAsia" w:ascii="仿宋_GB2312" w:hAnsi="仿宋_GB2312" w:eastAsia="仿宋_GB2312" w:cs="宋体"/>
          <w:color w:val="auto"/>
          <w:kern w:val="0"/>
          <w:sz w:val="32"/>
          <w:szCs w:val="32"/>
        </w:rPr>
        <w:t>办公室、资源科、监理科、防火科</w:t>
      </w:r>
      <w:r>
        <w:rPr>
          <w:rFonts w:hint="eastAsia" w:ascii="仿宋_GB2312" w:hAnsi="仿宋_GB2312" w:eastAsia="仿宋_GB2312" w:cs="宋体"/>
          <w:color w:val="auto"/>
          <w:kern w:val="0"/>
          <w:sz w:val="32"/>
          <w:szCs w:val="32"/>
          <w:lang w:eastAsia="zh-CN"/>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240" w:lineRule="atLeast"/>
        <w:ind w:firstLine="640" w:firstLineChars="200"/>
        <w:jc w:val="left"/>
        <w:textAlignment w:val="auto"/>
        <w:outlineLvl w:val="9"/>
        <w:rPr>
          <w:rFonts w:hint="eastAsia" w:ascii="仿宋_GB2312" w:hAnsi="仿宋_GB2312" w:eastAsia="仿宋_GB2312" w:cs="宋体"/>
          <w:color w:val="auto"/>
          <w:kern w:val="0"/>
          <w:sz w:val="32"/>
          <w:szCs w:val="32"/>
        </w:rPr>
      </w:pPr>
      <w:r>
        <w:rPr>
          <w:rFonts w:hint="eastAsia" w:ascii="仿宋_GB2312" w:hAnsi="仿宋_GB2312" w:eastAsia="仿宋_GB2312" w:cs="宋体"/>
          <w:color w:val="auto"/>
          <w:kern w:val="0"/>
          <w:sz w:val="32"/>
          <w:szCs w:val="32"/>
          <w:lang w:eastAsia="zh-CN"/>
        </w:rPr>
        <w:t>克孜勒苏柯尔克孜自治州</w:t>
      </w:r>
      <w:r>
        <w:rPr>
          <w:rFonts w:hint="eastAsia" w:ascii="仿宋_GB2312" w:hAnsi="仿宋_GB2312" w:eastAsia="仿宋_GB2312" w:cs="宋体"/>
          <w:color w:val="auto"/>
          <w:kern w:val="0"/>
          <w:sz w:val="32"/>
          <w:szCs w:val="32"/>
        </w:rPr>
        <w:t>草原监理所编制数 25人，实有人数</w:t>
      </w:r>
      <w:r>
        <w:rPr>
          <w:rFonts w:hint="eastAsia" w:ascii="仿宋_GB2312" w:hAnsi="仿宋_GB2312" w:eastAsia="仿宋_GB2312" w:cs="宋体"/>
          <w:color w:val="auto"/>
          <w:kern w:val="0"/>
          <w:sz w:val="32"/>
          <w:szCs w:val="32"/>
          <w:lang w:val="en-US" w:eastAsia="zh-CN"/>
        </w:rPr>
        <w:t>41</w:t>
      </w:r>
      <w:r>
        <w:rPr>
          <w:rFonts w:hint="eastAsia" w:ascii="仿宋_GB2312" w:hAnsi="仿宋_GB2312" w:eastAsia="仿宋_GB2312" w:cs="宋体"/>
          <w:color w:val="auto"/>
          <w:kern w:val="0"/>
          <w:sz w:val="32"/>
          <w:szCs w:val="32"/>
        </w:rPr>
        <w:t>人，其中：在职</w:t>
      </w:r>
      <w:r>
        <w:rPr>
          <w:rFonts w:hint="eastAsia" w:ascii="仿宋_GB2312" w:hAnsi="仿宋_GB2312" w:eastAsia="仿宋_GB2312" w:cs="宋体"/>
          <w:color w:val="auto"/>
          <w:kern w:val="0"/>
          <w:sz w:val="32"/>
          <w:szCs w:val="32"/>
          <w:lang w:val="en-US" w:eastAsia="zh-CN"/>
        </w:rPr>
        <w:t>29</w:t>
      </w:r>
      <w:r>
        <w:rPr>
          <w:rFonts w:hint="eastAsia" w:ascii="仿宋_GB2312" w:hAnsi="仿宋_GB2312" w:eastAsia="仿宋_GB2312" w:cs="宋体"/>
          <w:color w:val="auto"/>
          <w:kern w:val="0"/>
          <w:sz w:val="32"/>
          <w:szCs w:val="32"/>
        </w:rPr>
        <w:t>人，增加或减少0人； 退休1</w:t>
      </w:r>
      <w:r>
        <w:rPr>
          <w:rFonts w:hint="eastAsia" w:ascii="仿宋_GB2312" w:hAnsi="仿宋_GB2312" w:eastAsia="仿宋_GB2312" w:cs="宋体"/>
          <w:color w:val="auto"/>
          <w:kern w:val="0"/>
          <w:sz w:val="32"/>
          <w:szCs w:val="32"/>
          <w:lang w:val="en-US" w:eastAsia="zh-CN"/>
        </w:rPr>
        <w:t>2</w:t>
      </w:r>
      <w:r>
        <w:rPr>
          <w:rFonts w:hint="eastAsia" w:ascii="仿宋_GB2312" w:hAnsi="仿宋_GB2312" w:eastAsia="仿宋_GB2312" w:cs="宋体"/>
          <w:color w:val="auto"/>
          <w:kern w:val="0"/>
          <w:sz w:val="32"/>
          <w:szCs w:val="32"/>
        </w:rPr>
        <w:t>人，减少</w:t>
      </w:r>
      <w:r>
        <w:rPr>
          <w:rFonts w:hint="eastAsia" w:ascii="仿宋_GB2312" w:hAnsi="仿宋_GB2312" w:eastAsia="仿宋_GB2312" w:cs="宋体"/>
          <w:color w:val="auto"/>
          <w:kern w:val="0"/>
          <w:sz w:val="32"/>
          <w:szCs w:val="32"/>
          <w:lang w:val="en-US" w:eastAsia="zh-CN"/>
        </w:rPr>
        <w:t>1</w:t>
      </w:r>
      <w:r>
        <w:rPr>
          <w:rFonts w:hint="eastAsia" w:ascii="仿宋_GB2312" w:hAnsi="仿宋_GB2312" w:eastAsia="仿宋_GB2312" w:cs="宋体"/>
          <w:color w:val="auto"/>
          <w:kern w:val="0"/>
          <w:sz w:val="32"/>
          <w:szCs w:val="32"/>
        </w:rPr>
        <w:t>人；</w:t>
      </w:r>
      <w:r>
        <w:rPr>
          <w:rFonts w:hint="eastAsia" w:ascii="仿宋_GB2312" w:hAnsi="仿宋_GB2312" w:eastAsia="仿宋_GB2312" w:cs="宋体"/>
          <w:color w:val="auto"/>
          <w:kern w:val="0"/>
          <w:sz w:val="32"/>
          <w:szCs w:val="32"/>
          <w:lang w:eastAsia="zh-CN"/>
        </w:rPr>
        <w:t>财政供养人员</w:t>
      </w:r>
      <w:r>
        <w:rPr>
          <w:rFonts w:hint="eastAsia" w:ascii="仿宋_GB2312" w:hAnsi="仿宋_GB2312" w:eastAsia="仿宋_GB2312" w:cs="宋体"/>
          <w:color w:val="auto"/>
          <w:kern w:val="0"/>
          <w:sz w:val="32"/>
          <w:szCs w:val="32"/>
          <w:lang w:val="en-US" w:eastAsia="zh-CN"/>
        </w:rPr>
        <w:t>1人，增加1人；</w:t>
      </w:r>
      <w:r>
        <w:rPr>
          <w:rFonts w:hint="eastAsia" w:ascii="仿宋_GB2312" w:hAnsi="仿宋_GB2312" w:eastAsia="仿宋_GB2312" w:cs="宋体"/>
          <w:color w:val="auto"/>
          <w:kern w:val="0"/>
          <w:sz w:val="32"/>
          <w:szCs w:val="32"/>
        </w:rPr>
        <w:t>离休0 人，增加或减少0人。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hint="eastAsia" w:ascii="黑体" w:hAnsi="黑体" w:eastAsia="黑体"/>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keepNext w:val="0"/>
        <w:keepLines w:val="0"/>
        <w:pageBreakBefore w:val="0"/>
        <w:widowControl/>
        <w:kinsoku/>
        <w:wordWrap/>
        <w:overflowPunct/>
        <w:topLinePunct w:val="0"/>
        <w:autoSpaceDE/>
        <w:autoSpaceDN/>
        <w:bidi w:val="0"/>
        <w:adjustRightInd/>
        <w:snapToGrid/>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宋体" w:eastAsia="仿宋_GB2312"/>
          <w:kern w:val="0"/>
          <w:sz w:val="24"/>
        </w:rPr>
        <w:t xml:space="preserve">                  单位：万元</w:t>
      </w:r>
    </w:p>
    <w:tbl>
      <w:tblPr>
        <w:tblStyle w:val="10"/>
        <w:tblW w:w="9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20"/>
        <w:gridCol w:w="1845"/>
        <w:gridCol w:w="2955"/>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43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收     入</w:t>
            </w:r>
          </w:p>
        </w:tc>
        <w:tc>
          <w:tcPr>
            <w:tcW w:w="47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      目</w:t>
            </w:r>
          </w:p>
        </w:tc>
        <w:tc>
          <w:tcPr>
            <w:tcW w:w="184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预算数</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一、财政拨款（补助）</w:t>
            </w: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201 一般公共服务支出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一般公共预算</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202 外交支出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政府性基金预算</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203 国防支出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教育收费（财政专户）</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204 公共安全支出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事业收入</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205 教育支出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上级补助收入</w:t>
            </w:r>
          </w:p>
        </w:tc>
        <w:tc>
          <w:tcPr>
            <w:tcW w:w="1845"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206 科学技术支出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事业单位经营收入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207 文化体育与传媒支出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其他收入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208 社会保障和就业支出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预算外收入</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209 社会保险基金支出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用事业基金弥补收支差额</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210 医疗卫生与计划生育支出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211 节能环保支出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212 城乡社区支出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213 农林水支出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214 交通运输支出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215 资源勘探信息等支出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216 商业服务业等支出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217 金融支出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219 援助其他地区支出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220 国土资源气象等支出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221 住房保障支出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222 粮油物资管理支出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223 国有资本经营预算支出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227 预备费</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229 其他支出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231 债务还本支出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232 债务付息支出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184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233 债务发行费支出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收  入  小  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支  出  小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415.61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单位上年结余（不包含国库集中支付额度结余）</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12.31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803" w:firstLineChars="4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230 转移性支出</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5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收  入   总   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415.61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   出  总   计</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18"/>
                <w:szCs w:val="18"/>
                <w:u w:val="none"/>
                <w:lang w:val="en-US" w:eastAsia="zh-CN"/>
              </w:rPr>
              <w:t>415.61</w:t>
            </w:r>
          </w:p>
        </w:tc>
      </w:tr>
    </w:tbl>
    <w:p>
      <w:pPr>
        <w:widowControl/>
        <w:outlineLvl w:val="1"/>
        <w:rPr>
          <w:rFonts w:hint="eastAsia"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0"/>
        <w:tblW w:w="87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450"/>
        <w:gridCol w:w="435"/>
        <w:gridCol w:w="1714"/>
        <w:gridCol w:w="847"/>
        <w:gridCol w:w="750"/>
        <w:gridCol w:w="480"/>
        <w:gridCol w:w="368"/>
        <w:gridCol w:w="377"/>
        <w:gridCol w:w="315"/>
        <w:gridCol w:w="435"/>
        <w:gridCol w:w="465"/>
        <w:gridCol w:w="465"/>
        <w:gridCol w:w="285"/>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50" w:hRule="atLeast"/>
        </w:trPr>
        <w:tc>
          <w:tcPr>
            <w:tcW w:w="13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功能分类科目编码</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功能分类科目名称</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总计</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一般公共预算拨款</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政府性基金预算拨款</w:t>
            </w:r>
          </w:p>
        </w:tc>
        <w:tc>
          <w:tcPr>
            <w:tcW w:w="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财政专户管理资金</w:t>
            </w:r>
          </w:p>
        </w:tc>
        <w:tc>
          <w:tcPr>
            <w:tcW w:w="3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事业收入</w:t>
            </w:r>
          </w:p>
        </w:tc>
        <w:tc>
          <w:tcPr>
            <w:tcW w:w="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上级补助收入</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事业单位经营收入</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其他收入</w:t>
            </w:r>
          </w:p>
        </w:tc>
        <w:tc>
          <w:tcPr>
            <w:tcW w:w="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预算外收入</w:t>
            </w:r>
          </w:p>
        </w:tc>
        <w:tc>
          <w:tcPr>
            <w:tcW w:w="2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用事业基金弥补收支差额</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单位上年结余（不包含国库集中支付额度结余）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1" w:firstLineChars="100"/>
              <w:jc w:val="both"/>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类</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1" w:firstLineChars="1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款</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01" w:firstLineChars="1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w:t>
            </w: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3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2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213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01</w:t>
            </w: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01</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行政运行（农业）</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415.61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lang w:eastAsia="zh-CN"/>
              </w:rPr>
            </w:pPr>
            <w:r>
              <w:rPr>
                <w:rFonts w:hint="eastAsia" w:ascii="仿宋_GB2312" w:hAnsi="仿宋_GB2312" w:eastAsia="仿宋_GB2312" w:cs="仿宋_GB2312"/>
                <w:b/>
                <w:bCs/>
                <w:i w:val="0"/>
                <w:color w:val="000000"/>
                <w:sz w:val="20"/>
                <w:szCs w:val="20"/>
                <w:u w:val="none"/>
                <w:lang w:val="en-US" w:eastAsia="zh-CN"/>
              </w:rPr>
              <w:t>合计</w:t>
            </w:r>
          </w:p>
        </w:tc>
        <w:tc>
          <w:tcPr>
            <w:tcW w:w="8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415.61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403.30</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12.31</w:t>
            </w:r>
          </w:p>
        </w:tc>
      </w:tr>
    </w:tbl>
    <w:p>
      <w:pPr>
        <w:widowControl/>
        <w:outlineLvl w:val="1"/>
        <w:rPr>
          <w:rFonts w:hint="eastAsia"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宋体" w:eastAsia="仿宋_GB2312"/>
          <w:kern w:val="0"/>
          <w:sz w:val="24"/>
        </w:rPr>
        <w:t xml:space="preserve">               单位：万元</w:t>
      </w:r>
    </w:p>
    <w:tbl>
      <w:tblPr>
        <w:tblStyle w:val="10"/>
        <w:tblW w:w="82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6"/>
        <w:gridCol w:w="615"/>
        <w:gridCol w:w="690"/>
        <w:gridCol w:w="2040"/>
        <w:gridCol w:w="1605"/>
        <w:gridCol w:w="139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3871"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项         目</w:t>
            </w:r>
          </w:p>
        </w:tc>
        <w:tc>
          <w:tcPr>
            <w:tcW w:w="43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8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功能分类科目编码</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功能分类科目名称</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合      计</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基本支出</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类</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款</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项</w:t>
            </w: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213</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01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01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行政运行（农业）</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415.61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390.29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color w:val="000000"/>
                <w:sz w:val="20"/>
                <w:szCs w:val="20"/>
                <w:u w:val="none"/>
                <w:lang w:val="en-US" w:eastAsia="zh-CN"/>
              </w:rPr>
            </w:pPr>
            <w:r>
              <w:rPr>
                <w:rFonts w:hint="eastAsia" w:ascii="仿宋_GB2312" w:hAnsi="宋体" w:eastAsia="仿宋_GB2312" w:cs="宋体"/>
                <w:b/>
                <w:color w:val="000000"/>
                <w:kern w:val="0"/>
                <w:sz w:val="20"/>
                <w:szCs w:val="20"/>
                <w:lang w:val="en-US" w:eastAsia="zh-CN"/>
              </w:rPr>
              <w:t>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合计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415.61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390.29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r>
              <w:rPr>
                <w:rFonts w:hint="eastAsia" w:ascii="仿宋_GB2312" w:hAnsi="仿宋_GB2312" w:eastAsia="仿宋_GB2312" w:cs="仿宋_GB2312"/>
                <w:b/>
                <w:bCs/>
                <w:i w:val="0"/>
                <w:color w:val="000000"/>
                <w:sz w:val="20"/>
                <w:szCs w:val="20"/>
                <w:u w:val="none"/>
                <w:lang w:val="en-US" w:eastAsia="zh-CN"/>
              </w:rPr>
              <w:t>25.32</w:t>
            </w:r>
          </w:p>
        </w:tc>
      </w:tr>
    </w:tbl>
    <w:p>
      <w:pPr>
        <w:widowControl/>
        <w:outlineLvl w:val="1"/>
        <w:rPr>
          <w:rFonts w:hint="eastAsia" w:ascii="仿宋_GB2312" w:hAnsi="宋体" w:eastAsia="仿宋_GB2312"/>
          <w:b/>
          <w:kern w:val="0"/>
          <w:sz w:val="28"/>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ind w:firstLine="2570" w:firstLineChars="800"/>
        <w:jc w:val="both"/>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4"/>
          <w:szCs w:val="24"/>
        </w:rPr>
        <w:t>编制部门：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宋体" w:eastAsia="仿宋_GB2312"/>
          <w:kern w:val="0"/>
          <w:sz w:val="28"/>
          <w:szCs w:val="28"/>
        </w:rPr>
        <w:t xml:space="preserve">     </w:t>
      </w:r>
      <w:r>
        <w:rPr>
          <w:rFonts w:hint="eastAsia" w:ascii="仿宋_GB2312" w:hAnsi="宋体" w:eastAsia="仿宋_GB2312"/>
          <w:kern w:val="0"/>
          <w:sz w:val="24"/>
          <w:szCs w:val="24"/>
        </w:rPr>
        <w:t>单位：万元</w:t>
      </w:r>
    </w:p>
    <w:tbl>
      <w:tblPr>
        <w:tblStyle w:val="10"/>
        <w:tblW w:w="84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41"/>
        <w:gridCol w:w="795"/>
        <w:gridCol w:w="2895"/>
        <w:gridCol w:w="750"/>
        <w:gridCol w:w="935"/>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 w:hRule="atLeast"/>
        </w:trPr>
        <w:tc>
          <w:tcPr>
            <w:tcW w:w="31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财政拨款收入</w:t>
            </w:r>
          </w:p>
        </w:tc>
        <w:tc>
          <w:tcPr>
            <w:tcW w:w="53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1400" w:leftChars="380" w:hanging="602" w:hangingChars="300"/>
              <w:jc w:val="both"/>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项   目                   </w:t>
            </w:r>
          </w:p>
        </w:tc>
        <w:tc>
          <w:tcPr>
            <w:tcW w:w="79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合计</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功 能 分 类</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合计</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一般公共预算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政府性基金预算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ind w:firstLine="402" w:firstLineChars="2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财政拨款（补助）</w:t>
            </w: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201 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一般公共预算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202 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 xml:space="preserve">    政府性基金预算</w:t>
            </w:r>
          </w:p>
        </w:tc>
        <w:tc>
          <w:tcPr>
            <w:tcW w:w="795"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203 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204 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205 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206 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207 文化体育与传媒支出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208 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209 社会保险基金支出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210 医疗卫生与计划生育支出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b/>
                <w:bCs/>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211 节能环保支出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212 城乡社区支出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213 农林水支出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214 交通运输支出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215 资源勘探信息等支出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216 商业服务业等支出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217 金融支出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219 援助其他地区支出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220 国土资源气象等支出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4"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221 住房保障支出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222 粮油物资管理支出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223 国有资本经营预算支出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227 预备费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229 其他支出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231 债务还本支出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232 债务付息支出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rPr>
                <w:rFonts w:hint="eastAsia" w:ascii="仿宋_GB2312" w:hAnsi="仿宋_GB2312" w:eastAsia="仿宋_GB2312" w:cs="仿宋_GB2312"/>
                <w:b/>
                <w:bCs/>
                <w:i w:val="0"/>
                <w:color w:val="000000"/>
                <w:sz w:val="20"/>
                <w:szCs w:val="20"/>
                <w:u w:val="none"/>
              </w:rPr>
            </w:pPr>
          </w:p>
        </w:tc>
        <w:tc>
          <w:tcPr>
            <w:tcW w:w="795" w:type="dxa"/>
            <w:tcBorders>
              <w:top w:val="single" w:color="000000" w:sz="4" w:space="0"/>
              <w:left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233 债务发行费支出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收  入  小  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本  年  支  出  小  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20"/>
                <w:szCs w:val="20"/>
                <w:u w:val="none"/>
                <w:lang w:val="en-US" w:eastAsia="zh-CN"/>
              </w:rPr>
              <w:t>403.30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kern w:val="0"/>
                <w:sz w:val="18"/>
                <w:szCs w:val="18"/>
                <w:u w:val="none"/>
                <w:lang w:val="en-US" w:eastAsia="zh-CN" w:bidi="ar"/>
              </w:rPr>
              <w:t>单位上年结余（不包含国库集中支付额度结余）</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02" w:firstLineChars="300"/>
              <w:jc w:val="left"/>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230 转移性支出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0" w:hRule="atLeast"/>
        </w:trPr>
        <w:tc>
          <w:tcPr>
            <w:tcW w:w="23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收   入   总   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lang w:val="en-US" w:eastAsia="zh-CN"/>
              </w:rPr>
            </w:pPr>
            <w:r>
              <w:rPr>
                <w:rFonts w:hint="eastAsia" w:ascii="仿宋_GB2312" w:hAnsi="仿宋_GB2312" w:eastAsia="仿宋_GB2312" w:cs="仿宋_GB2312"/>
                <w:b/>
                <w:bCs/>
                <w:i w:val="0"/>
                <w:color w:val="000000"/>
                <w:sz w:val="20"/>
                <w:szCs w:val="20"/>
                <w:u w:val="none"/>
                <w:lang w:val="en-US" w:eastAsia="zh-CN"/>
              </w:rPr>
              <w:t>403.3</w:t>
            </w:r>
            <w:r>
              <w:rPr>
                <w:rFonts w:hint="eastAsia" w:ascii="仿宋_GB2312" w:hAnsi="仿宋_GB2312" w:eastAsia="仿宋_GB2312" w:cs="仿宋_GB2312"/>
                <w:b/>
                <w:bCs/>
                <w:i w:val="0"/>
                <w:color w:val="000000"/>
                <w:sz w:val="18"/>
                <w:szCs w:val="18"/>
                <w:u w:val="none"/>
                <w:lang w:val="en-US" w:eastAsia="zh-CN"/>
              </w:rPr>
              <w:t>0</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0"/>
                <w:szCs w:val="20"/>
                <w:u w:val="none"/>
              </w:rPr>
            </w:pPr>
            <w:r>
              <w:rPr>
                <w:rFonts w:hint="eastAsia" w:ascii="仿宋_GB2312" w:hAnsi="仿宋_GB2312" w:eastAsia="仿宋_GB2312" w:cs="仿宋_GB2312"/>
                <w:b/>
                <w:bCs/>
                <w:i w:val="0"/>
                <w:color w:val="000000"/>
                <w:kern w:val="0"/>
                <w:sz w:val="20"/>
                <w:szCs w:val="20"/>
                <w:u w:val="none"/>
                <w:lang w:val="en-US" w:eastAsia="zh-CN" w:bidi="ar"/>
              </w:rPr>
              <w:t>支   出  总   计</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sz w:val="20"/>
                <w:szCs w:val="20"/>
                <w:u w:val="none"/>
                <w:lang w:val="en-US" w:eastAsia="zh-CN"/>
              </w:rPr>
              <w:t>403.30</w:t>
            </w:r>
          </w:p>
        </w:tc>
        <w:tc>
          <w:tcPr>
            <w:tcW w:w="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b/>
                <w:bCs/>
                <w:i w:val="0"/>
                <w:color w:val="000000"/>
                <w:sz w:val="18"/>
                <w:szCs w:val="18"/>
                <w:u w:val="none"/>
              </w:rPr>
            </w:pPr>
            <w:r>
              <w:rPr>
                <w:rFonts w:hint="eastAsia" w:ascii="仿宋_GB2312" w:hAnsi="仿宋_GB2312" w:eastAsia="仿宋_GB2312" w:cs="仿宋_GB2312"/>
                <w:b/>
                <w:bCs/>
                <w:i w:val="0"/>
                <w:color w:val="000000"/>
                <w:sz w:val="20"/>
                <w:szCs w:val="20"/>
                <w:u w:val="none"/>
                <w:lang w:val="en-US" w:eastAsia="zh-CN"/>
              </w:rPr>
              <w:t>403.30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仿宋_GB2312" w:hAnsi="仿宋_GB2312" w:eastAsia="仿宋_GB2312" w:cs="仿宋_GB2312"/>
                <w:i w:val="0"/>
                <w:color w:val="000000"/>
                <w:sz w:val="20"/>
                <w:szCs w:val="20"/>
                <w:u w:val="none"/>
              </w:rPr>
            </w:pPr>
          </w:p>
        </w:tc>
      </w:tr>
    </w:tbl>
    <w:p>
      <w:pPr>
        <w:widowControl/>
        <w:outlineLvl w:val="1"/>
        <w:rPr>
          <w:rFonts w:hint="eastAsia"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7531" w:type="dxa"/>
        <w:tblInd w:w="93" w:type="dxa"/>
        <w:tblLayout w:type="fixed"/>
        <w:tblCellMar>
          <w:top w:w="0" w:type="dxa"/>
          <w:left w:w="108" w:type="dxa"/>
          <w:bottom w:w="0" w:type="dxa"/>
          <w:right w:w="108" w:type="dxa"/>
        </w:tblCellMar>
      </w:tblPr>
      <w:tblGrid>
        <w:gridCol w:w="536"/>
        <w:gridCol w:w="450"/>
        <w:gridCol w:w="525"/>
        <w:gridCol w:w="1715"/>
        <w:gridCol w:w="1125"/>
        <w:gridCol w:w="1590"/>
        <w:gridCol w:w="1590"/>
      </w:tblGrid>
      <w:tr>
        <w:tblPrEx>
          <w:tblLayout w:type="fixed"/>
          <w:tblCellMar>
            <w:top w:w="0" w:type="dxa"/>
            <w:left w:w="108" w:type="dxa"/>
            <w:bottom w:w="0" w:type="dxa"/>
            <w:right w:w="108" w:type="dxa"/>
          </w:tblCellMar>
        </w:tblPrEx>
        <w:trPr>
          <w:trHeight w:val="450" w:hRule="atLeast"/>
        </w:trPr>
        <w:tc>
          <w:tcPr>
            <w:tcW w:w="7531" w:type="dxa"/>
            <w:gridSpan w:val="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7531"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宋体" w:eastAsia="仿宋_GB2312" w:cs="宋体"/>
                <w:color w:val="000000"/>
                <w:kern w:val="0"/>
                <w:sz w:val="24"/>
              </w:rPr>
              <w:t xml:space="preserve"> 单位：万元</w:t>
            </w:r>
          </w:p>
        </w:tc>
      </w:tr>
      <w:tr>
        <w:tblPrEx>
          <w:tblLayout w:type="fixed"/>
          <w:tblCellMar>
            <w:top w:w="0" w:type="dxa"/>
            <w:left w:w="108" w:type="dxa"/>
            <w:bottom w:w="0" w:type="dxa"/>
            <w:right w:w="108" w:type="dxa"/>
          </w:tblCellMar>
        </w:tblPrEx>
        <w:trPr>
          <w:trHeight w:val="405" w:hRule="atLeast"/>
        </w:trPr>
        <w:tc>
          <w:tcPr>
            <w:tcW w:w="322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430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51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17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5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59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17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12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9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213</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仿宋_GB2312" w:eastAsia="仿宋_GB2312" w:cs="仿宋_GB2312"/>
                <w:b/>
                <w:bCs/>
                <w:i w:val="0"/>
                <w:color w:val="000000"/>
                <w:sz w:val="20"/>
                <w:szCs w:val="20"/>
                <w:u w:val="none"/>
                <w:lang w:val="en-US" w:eastAsia="zh-CN"/>
              </w:rPr>
              <w:t>行政运行（农业）</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403.30</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377.98</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lang w:val="en-US" w:eastAsia="zh-CN"/>
              </w:rPr>
              <w:t>25.32</w:t>
            </w:r>
            <w:r>
              <w:rPr>
                <w:rFonts w:hint="eastAsia" w:ascii="仿宋_GB2312" w:hAnsi="宋体" w:eastAsia="仿宋_GB2312" w:cs="宋体"/>
                <w:b/>
                <w:color w:val="000000"/>
                <w:kern w:val="0"/>
                <w:sz w:val="20"/>
                <w:szCs w:val="20"/>
              </w:rPr>
              <w:t>　</w:t>
            </w:r>
          </w:p>
        </w:tc>
      </w:tr>
      <w:tr>
        <w:tblPrEx>
          <w:tblLayout w:type="fixed"/>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5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5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hAnsi="仿宋_GB2312" w:eastAsia="仿宋_GB2312" w:cs="仿宋_GB2312"/>
                <w:b/>
                <w:bCs/>
                <w:i w:val="0"/>
                <w:color w:val="000000"/>
                <w:sz w:val="20"/>
                <w:szCs w:val="20"/>
                <w:u w:val="none"/>
                <w:lang w:val="en-US" w:eastAsia="zh-CN"/>
              </w:rPr>
              <w:t>合计</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403.30</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hAnsi="宋体" w:eastAsia="仿宋_GB2312" w:cs="宋体"/>
                <w:b/>
                <w:color w:val="000000"/>
                <w:kern w:val="0"/>
                <w:sz w:val="20"/>
                <w:szCs w:val="20"/>
              </w:rPr>
              <w:t>　</w:t>
            </w:r>
            <w:r>
              <w:rPr>
                <w:rFonts w:hint="eastAsia" w:ascii="仿宋_GB2312" w:hAnsi="宋体" w:eastAsia="仿宋_GB2312" w:cs="宋体"/>
                <w:b/>
                <w:color w:val="000000"/>
                <w:kern w:val="0"/>
                <w:sz w:val="20"/>
                <w:szCs w:val="20"/>
                <w:lang w:val="en-US" w:eastAsia="zh-CN"/>
              </w:rPr>
              <w:t>377.98</w:t>
            </w:r>
          </w:p>
        </w:tc>
        <w:tc>
          <w:tcPr>
            <w:tcW w:w="15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仿宋_GB2312" w:hAnsi="宋体" w:eastAsia="仿宋_GB2312" w:cs="宋体"/>
                <w:b/>
                <w:color w:val="000000"/>
                <w:kern w:val="0"/>
                <w:sz w:val="20"/>
                <w:szCs w:val="20"/>
                <w:lang w:val="en-US" w:eastAsia="zh-CN"/>
              </w:rPr>
              <w:t>25.32</w:t>
            </w:r>
            <w:r>
              <w:rPr>
                <w:rFonts w:hint="eastAsia" w:ascii="仿宋_GB2312" w:hAnsi="宋体" w:eastAsia="仿宋_GB2312" w:cs="宋体"/>
                <w:b/>
                <w:color w:val="000000"/>
                <w:kern w:val="0"/>
                <w:sz w:val="20"/>
                <w:szCs w:val="20"/>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8026" w:type="dxa"/>
        <w:tblInd w:w="93" w:type="dxa"/>
        <w:tblLayout w:type="fixed"/>
        <w:tblCellMar>
          <w:top w:w="0" w:type="dxa"/>
          <w:left w:w="108" w:type="dxa"/>
          <w:bottom w:w="0" w:type="dxa"/>
          <w:right w:w="108" w:type="dxa"/>
        </w:tblCellMar>
      </w:tblPr>
      <w:tblGrid>
        <w:gridCol w:w="516"/>
        <w:gridCol w:w="770"/>
        <w:gridCol w:w="2855"/>
        <w:gridCol w:w="1170"/>
        <w:gridCol w:w="1050"/>
        <w:gridCol w:w="1665"/>
      </w:tblGrid>
      <w:tr>
        <w:tblPrEx>
          <w:tblLayout w:type="fixed"/>
          <w:tblCellMar>
            <w:top w:w="0" w:type="dxa"/>
            <w:left w:w="108" w:type="dxa"/>
            <w:bottom w:w="0" w:type="dxa"/>
            <w:right w:w="108" w:type="dxa"/>
          </w:tblCellMar>
        </w:tblPrEx>
        <w:trPr>
          <w:trHeight w:val="375" w:hRule="atLeast"/>
        </w:trPr>
        <w:tc>
          <w:tcPr>
            <w:tcW w:w="8026" w:type="dxa"/>
            <w:gridSpan w:val="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8026"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trPr>
        <w:tc>
          <w:tcPr>
            <w:tcW w:w="414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388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trPr>
        <w:tc>
          <w:tcPr>
            <w:tcW w:w="128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17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0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7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5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1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0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lang w:val="en-US" w:eastAsia="zh-CN"/>
              </w:rPr>
            </w:pPr>
            <w:r>
              <w:rPr>
                <w:rFonts w:hint="eastAsia" w:ascii="仿宋_GB2312" w:hAnsi="宋体" w:eastAsia="仿宋_GB2312"/>
                <w:b/>
                <w:kern w:val="0"/>
                <w:sz w:val="18"/>
                <w:szCs w:val="18"/>
                <w:lang w:val="en-US" w:eastAsia="zh-CN"/>
              </w:rPr>
              <w:t>30207</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邮电费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0.50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rPr>
              <w:t>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0.50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30302</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退休费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8.87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8.87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30206</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电费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0.40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0.40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30205</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水费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0.30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0.30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30226</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劳务费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0.20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0.20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30201</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办公费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0.82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0.82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30113</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住房公积金</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26.39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26.39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30213</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维修(护)费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0.20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0.20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30399</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其他对个人和家庭的补助</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30102</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津贴补贴</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143.69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143.69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30208</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取暖费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2.34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2.34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30309</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奖励金</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1.48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1.48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30204</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手续费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0.08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0.08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30305</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生活补助</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0.44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0.44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30228</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工会经费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1.55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1.55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30242</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办公用品及设备采购</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1.80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1.80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30101</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基本工资</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107.07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107.07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30108</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机关事业单位基本养老保险缴费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43.59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43.59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30103</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奖金</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8.92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8.92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30231</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公务用车运行维护费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2.10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2.10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30112</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其他社会保障缴费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23.83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23.83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30211</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差旅费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0.50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0.50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30202</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印刷费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0.10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0.10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30229</w:t>
            </w:r>
          </w:p>
        </w:tc>
        <w:tc>
          <w:tcPr>
            <w:tcW w:w="2855" w:type="dxa"/>
            <w:tcBorders>
              <w:top w:val="nil"/>
              <w:left w:val="nil"/>
              <w:bottom w:val="single" w:color="auto" w:sz="4" w:space="0"/>
              <w:right w:val="single" w:color="auto" w:sz="4" w:space="0"/>
            </w:tcBorders>
            <w:shd w:val="clear" w:color="auto" w:fill="auto"/>
            <w:vAlign w:val="center"/>
          </w:tcPr>
          <w:p>
            <w:pPr>
              <w:widowControl/>
              <w:jc w:val="left"/>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福利费</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2.80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2.80 </w:t>
            </w:r>
          </w:p>
        </w:tc>
      </w:tr>
      <w:tr>
        <w:tblPrEx>
          <w:tblLayout w:type="fixed"/>
          <w:tblCellMar>
            <w:top w:w="0" w:type="dxa"/>
            <w:left w:w="108" w:type="dxa"/>
            <w:bottom w:w="0" w:type="dxa"/>
            <w:right w:w="108" w:type="dxa"/>
          </w:tblCellMar>
        </w:tblPrEx>
        <w:trPr>
          <w:trHeight w:val="40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rPr>
              <w:t>　</w:t>
            </w:r>
          </w:p>
        </w:tc>
        <w:tc>
          <w:tcPr>
            <w:tcW w:w="7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rPr>
              <w:t>　</w:t>
            </w:r>
          </w:p>
        </w:tc>
        <w:tc>
          <w:tcPr>
            <w:tcW w:w="285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rPr>
              <w:t>合计</w:t>
            </w:r>
          </w:p>
        </w:tc>
        <w:tc>
          <w:tcPr>
            <w:tcW w:w="117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377.98 </w:t>
            </w:r>
          </w:p>
        </w:tc>
        <w:tc>
          <w:tcPr>
            <w:tcW w:w="1050"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364.28 </w:t>
            </w:r>
          </w:p>
        </w:tc>
        <w:tc>
          <w:tcPr>
            <w:tcW w:w="1665" w:type="dxa"/>
            <w:tcBorders>
              <w:top w:val="nil"/>
              <w:left w:val="nil"/>
              <w:bottom w:val="single" w:color="auto" w:sz="4" w:space="0"/>
              <w:right w:val="single" w:color="auto" w:sz="4" w:space="0"/>
            </w:tcBorders>
            <w:shd w:val="clear" w:color="auto" w:fill="auto"/>
            <w:vAlign w:val="center"/>
          </w:tcPr>
          <w:p>
            <w:pPr>
              <w:widowControl/>
              <w:jc w:val="center"/>
              <w:outlineLvl w:val="1"/>
              <w:rPr>
                <w:rFonts w:hint="eastAsia" w:ascii="仿宋_GB2312" w:hAnsi="宋体" w:eastAsia="仿宋_GB2312"/>
                <w:b/>
                <w:kern w:val="0"/>
                <w:sz w:val="18"/>
                <w:szCs w:val="18"/>
              </w:rPr>
            </w:pPr>
            <w:r>
              <w:rPr>
                <w:rFonts w:hint="eastAsia" w:ascii="仿宋_GB2312" w:hAnsi="宋体" w:eastAsia="仿宋_GB2312"/>
                <w:b/>
                <w:kern w:val="0"/>
                <w:sz w:val="18"/>
                <w:szCs w:val="18"/>
                <w:lang w:val="en-US" w:eastAsia="zh-CN"/>
              </w:rPr>
              <w:t xml:space="preserve">13.69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8856" w:type="dxa"/>
        <w:tblInd w:w="93" w:type="dxa"/>
        <w:tblLayout w:type="fixed"/>
        <w:tblCellMar>
          <w:top w:w="0" w:type="dxa"/>
          <w:left w:w="108" w:type="dxa"/>
          <w:bottom w:w="0" w:type="dxa"/>
          <w:right w:w="108" w:type="dxa"/>
        </w:tblCellMar>
      </w:tblPr>
      <w:tblGrid>
        <w:gridCol w:w="8"/>
        <w:gridCol w:w="648"/>
        <w:gridCol w:w="495"/>
        <w:gridCol w:w="495"/>
        <w:gridCol w:w="1047"/>
        <w:gridCol w:w="1018"/>
        <w:gridCol w:w="720"/>
        <w:gridCol w:w="360"/>
        <w:gridCol w:w="658"/>
        <w:gridCol w:w="720"/>
        <w:gridCol w:w="377"/>
        <w:gridCol w:w="480"/>
        <w:gridCol w:w="375"/>
        <w:gridCol w:w="420"/>
        <w:gridCol w:w="375"/>
        <w:gridCol w:w="390"/>
        <w:gridCol w:w="270"/>
      </w:tblGrid>
      <w:tr>
        <w:tblPrEx>
          <w:tblLayout w:type="fixed"/>
          <w:tblCellMar>
            <w:top w:w="0" w:type="dxa"/>
            <w:left w:w="108" w:type="dxa"/>
            <w:bottom w:w="0" w:type="dxa"/>
            <w:right w:w="108" w:type="dxa"/>
          </w:tblCellMar>
        </w:tblPrEx>
        <w:trPr>
          <w:gridBefore w:val="1"/>
          <w:wBefore w:w="8" w:type="dxa"/>
          <w:trHeight w:val="375" w:hRule="atLeast"/>
        </w:trPr>
        <w:tc>
          <w:tcPr>
            <w:tcW w:w="8848" w:type="dxa"/>
            <w:gridSpan w:val="16"/>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wBefore w:w="8" w:type="dxa"/>
          <w:trHeight w:val="405" w:hRule="atLeast"/>
        </w:trPr>
        <w:tc>
          <w:tcPr>
            <w:tcW w:w="8848" w:type="dxa"/>
            <w:gridSpan w:val="1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646"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04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018"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36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5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7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377"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48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37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375"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39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27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65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95"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95"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047"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01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6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7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8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7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75"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27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56" w:type="dxa"/>
            <w:gridSpan w:val="2"/>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213</w:t>
            </w:r>
          </w:p>
        </w:tc>
        <w:tc>
          <w:tcPr>
            <w:tcW w:w="495" w:type="dxa"/>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495" w:type="dxa"/>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01</w:t>
            </w:r>
          </w:p>
        </w:tc>
        <w:tc>
          <w:tcPr>
            <w:tcW w:w="1047" w:type="dxa"/>
            <w:shd w:val="clear" w:color="auto" w:fill="auto"/>
            <w:vAlign w:val="center"/>
          </w:tcPr>
          <w:p>
            <w:pPr>
              <w:widowControl/>
              <w:jc w:val="center"/>
              <w:rPr>
                <w:rFonts w:hint="eastAsia" w:ascii="仿宋_GB2312" w:hAnsi="宋体" w:eastAsia="仿宋_GB2312" w:cs="宋体"/>
                <w:b/>
                <w:color w:val="000000"/>
                <w:kern w:val="0"/>
                <w:sz w:val="20"/>
                <w:szCs w:val="20"/>
                <w:lang w:val="en-US" w:eastAsia="zh-CN"/>
              </w:rPr>
            </w:pPr>
            <w:r>
              <w:rPr>
                <w:rFonts w:hint="eastAsia" w:ascii="仿宋_GB2312" w:hAnsi="仿宋_GB2312" w:eastAsia="仿宋_GB2312" w:cs="仿宋_GB2312"/>
                <w:b/>
                <w:bCs/>
                <w:i w:val="0"/>
                <w:color w:val="000000"/>
                <w:sz w:val="20"/>
                <w:szCs w:val="20"/>
                <w:u w:val="none"/>
                <w:lang w:val="en-US" w:eastAsia="zh-CN"/>
              </w:rPr>
              <w:t>其他农业支出</w:t>
            </w:r>
          </w:p>
        </w:tc>
        <w:tc>
          <w:tcPr>
            <w:tcW w:w="1018" w:type="dxa"/>
            <w:shd w:val="clear" w:color="auto" w:fill="auto"/>
            <w:vAlign w:val="center"/>
          </w:tcPr>
          <w:p>
            <w:pPr>
              <w:widowControl/>
              <w:jc w:val="center"/>
              <w:outlineLvl w:val="1"/>
              <w:rPr>
                <w:rFonts w:hint="eastAsia" w:ascii="仿宋_GB2312" w:hAnsi="宋体" w:eastAsia="仿宋_GB2312"/>
                <w:b/>
                <w:bCs/>
                <w:kern w:val="0"/>
                <w:sz w:val="20"/>
                <w:szCs w:val="20"/>
                <w:lang w:eastAsia="zh-CN"/>
              </w:rPr>
            </w:pPr>
            <w:r>
              <w:rPr>
                <w:rFonts w:hint="eastAsia" w:ascii="仿宋_GB2312" w:hAnsi="宋体" w:eastAsia="仿宋_GB2312"/>
                <w:b/>
                <w:bCs/>
                <w:kern w:val="0"/>
                <w:sz w:val="20"/>
                <w:szCs w:val="20"/>
                <w:lang w:eastAsia="zh-CN"/>
              </w:rPr>
              <w:t>联建工作经费</w:t>
            </w:r>
          </w:p>
        </w:tc>
        <w:tc>
          <w:tcPr>
            <w:tcW w:w="720" w:type="dxa"/>
            <w:shd w:val="clear" w:color="auto" w:fill="auto"/>
            <w:vAlign w:val="center"/>
          </w:tcPr>
          <w:p>
            <w:pPr>
              <w:widowControl/>
              <w:jc w:val="center"/>
              <w:outlineLvl w:val="1"/>
              <w:rPr>
                <w:rFonts w:hint="eastAsia" w:ascii="仿宋_GB2312" w:hAnsi="宋体" w:eastAsia="仿宋_GB2312"/>
                <w:b/>
                <w:bCs/>
                <w:kern w:val="0"/>
                <w:sz w:val="20"/>
                <w:szCs w:val="20"/>
                <w:lang w:val="en-US" w:eastAsia="zh-CN"/>
              </w:rPr>
            </w:pPr>
            <w:r>
              <w:rPr>
                <w:rFonts w:hint="eastAsia" w:ascii="仿宋_GB2312" w:hAnsi="宋体" w:eastAsia="仿宋_GB2312"/>
                <w:b/>
                <w:bCs/>
                <w:kern w:val="0"/>
                <w:sz w:val="20"/>
                <w:szCs w:val="20"/>
                <w:lang w:val="en-US" w:eastAsia="zh-CN"/>
              </w:rPr>
              <w:t>5.00</w:t>
            </w:r>
          </w:p>
        </w:tc>
        <w:tc>
          <w:tcPr>
            <w:tcW w:w="360" w:type="dxa"/>
            <w:shd w:val="clear" w:color="auto" w:fill="auto"/>
            <w:vAlign w:val="center"/>
          </w:tcPr>
          <w:p>
            <w:pPr>
              <w:widowControl/>
              <w:jc w:val="center"/>
              <w:outlineLvl w:val="1"/>
              <w:rPr>
                <w:rFonts w:ascii="仿宋_GB2312" w:hAnsi="宋体" w:eastAsia="仿宋_GB2312"/>
                <w:b/>
                <w:bCs/>
                <w:kern w:val="0"/>
                <w:sz w:val="20"/>
                <w:szCs w:val="20"/>
              </w:rPr>
            </w:pPr>
          </w:p>
        </w:tc>
        <w:tc>
          <w:tcPr>
            <w:tcW w:w="658" w:type="dxa"/>
            <w:shd w:val="clear" w:color="auto" w:fill="auto"/>
            <w:vAlign w:val="center"/>
          </w:tcPr>
          <w:p>
            <w:pPr>
              <w:widowControl/>
              <w:jc w:val="center"/>
              <w:outlineLvl w:val="1"/>
              <w:rPr>
                <w:rFonts w:hint="eastAsia" w:ascii="仿宋_GB2312" w:hAnsi="宋体" w:eastAsia="仿宋_GB2312"/>
                <w:b/>
                <w:bCs/>
                <w:kern w:val="0"/>
                <w:sz w:val="20"/>
                <w:szCs w:val="20"/>
                <w:lang w:val="en-US" w:eastAsia="zh-CN"/>
              </w:rPr>
            </w:pPr>
            <w:r>
              <w:rPr>
                <w:rFonts w:hint="eastAsia" w:ascii="仿宋_GB2312" w:hAnsi="宋体" w:eastAsia="仿宋_GB2312"/>
                <w:b/>
                <w:bCs/>
                <w:kern w:val="0"/>
                <w:sz w:val="20"/>
                <w:szCs w:val="20"/>
                <w:lang w:val="en-US" w:eastAsia="zh-CN"/>
              </w:rPr>
              <w:t>5.00</w:t>
            </w: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7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7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56" w:type="dxa"/>
            <w:gridSpan w:val="2"/>
            <w:shd w:val="clear" w:color="auto" w:fill="auto"/>
            <w:vAlign w:val="center"/>
          </w:tcPr>
          <w:p>
            <w:pPr>
              <w:widowControl/>
              <w:jc w:val="center"/>
              <w:rPr>
                <w:rFonts w:ascii="仿宋_GB2312" w:hAnsi="宋体" w:eastAsia="仿宋_GB2312"/>
                <w:kern w:val="0"/>
                <w:sz w:val="32"/>
                <w:szCs w:val="32"/>
              </w:rPr>
            </w:pPr>
            <w:r>
              <w:rPr>
                <w:rFonts w:hint="eastAsia" w:ascii="仿宋_GB2312" w:hAnsi="宋体" w:eastAsia="仿宋_GB2312" w:cs="宋体"/>
                <w:b/>
                <w:color w:val="000000"/>
                <w:kern w:val="0"/>
                <w:sz w:val="20"/>
                <w:szCs w:val="20"/>
                <w:lang w:val="en-US" w:eastAsia="zh-CN"/>
              </w:rPr>
              <w:t>213</w:t>
            </w:r>
          </w:p>
        </w:tc>
        <w:tc>
          <w:tcPr>
            <w:tcW w:w="495" w:type="dxa"/>
            <w:shd w:val="clear" w:color="auto" w:fill="auto"/>
            <w:vAlign w:val="center"/>
          </w:tcPr>
          <w:p>
            <w:pPr>
              <w:widowControl/>
              <w:jc w:val="center"/>
              <w:rPr>
                <w:rFonts w:ascii="仿宋_GB2312" w:hAnsi="宋体" w:eastAsia="仿宋_GB2312"/>
                <w:kern w:val="0"/>
                <w:sz w:val="32"/>
                <w:szCs w:val="32"/>
              </w:rPr>
            </w:pPr>
            <w:r>
              <w:rPr>
                <w:rFonts w:hint="eastAsia" w:ascii="仿宋_GB2312" w:hAnsi="宋体" w:eastAsia="仿宋_GB2312" w:cs="宋体"/>
                <w:b/>
                <w:color w:val="000000"/>
                <w:kern w:val="0"/>
                <w:sz w:val="20"/>
                <w:szCs w:val="20"/>
                <w:lang w:val="en-US" w:eastAsia="zh-CN"/>
              </w:rPr>
              <w:t>01</w:t>
            </w:r>
          </w:p>
        </w:tc>
        <w:tc>
          <w:tcPr>
            <w:tcW w:w="495" w:type="dxa"/>
            <w:shd w:val="clear" w:color="auto" w:fill="auto"/>
            <w:vAlign w:val="center"/>
          </w:tcPr>
          <w:p>
            <w:pPr>
              <w:widowControl/>
              <w:jc w:val="center"/>
              <w:rPr>
                <w:rFonts w:ascii="仿宋_GB2312" w:hAnsi="宋体" w:eastAsia="仿宋_GB2312"/>
                <w:kern w:val="0"/>
                <w:sz w:val="32"/>
                <w:szCs w:val="32"/>
                <w:lang w:val="en-US"/>
              </w:rPr>
            </w:pPr>
            <w:r>
              <w:rPr>
                <w:rFonts w:hint="eastAsia" w:ascii="仿宋_GB2312" w:hAnsi="宋体" w:eastAsia="仿宋_GB2312" w:cs="宋体"/>
                <w:b/>
                <w:color w:val="000000"/>
                <w:kern w:val="0"/>
                <w:sz w:val="20"/>
                <w:szCs w:val="20"/>
                <w:lang w:val="en-US" w:eastAsia="zh-CN"/>
              </w:rPr>
              <w:t>01</w:t>
            </w:r>
          </w:p>
        </w:tc>
        <w:tc>
          <w:tcPr>
            <w:tcW w:w="1047" w:type="dxa"/>
            <w:shd w:val="clear" w:color="auto" w:fill="auto"/>
            <w:vAlign w:val="center"/>
          </w:tcPr>
          <w:p>
            <w:pPr>
              <w:widowControl/>
              <w:jc w:val="left"/>
              <w:rPr>
                <w:rFonts w:ascii="仿宋_GB2312" w:hAnsi="宋体" w:eastAsia="仿宋_GB2312"/>
                <w:kern w:val="0"/>
                <w:sz w:val="32"/>
                <w:szCs w:val="32"/>
              </w:rPr>
            </w:pPr>
            <w:r>
              <w:rPr>
                <w:rFonts w:hint="eastAsia" w:ascii="仿宋_GB2312" w:hAnsi="仿宋_GB2312" w:eastAsia="仿宋_GB2312" w:cs="仿宋_GB2312"/>
                <w:b/>
                <w:bCs/>
                <w:i w:val="0"/>
                <w:color w:val="000000"/>
                <w:sz w:val="20"/>
                <w:szCs w:val="20"/>
                <w:u w:val="none"/>
                <w:lang w:val="en-US" w:eastAsia="zh-CN"/>
              </w:rPr>
              <w:t>行政运行（农业）</w:t>
            </w:r>
          </w:p>
        </w:tc>
        <w:tc>
          <w:tcPr>
            <w:tcW w:w="1018" w:type="dxa"/>
            <w:shd w:val="clear" w:color="auto" w:fill="auto"/>
            <w:vAlign w:val="center"/>
          </w:tcPr>
          <w:p>
            <w:pPr>
              <w:widowControl/>
              <w:jc w:val="center"/>
              <w:outlineLvl w:val="1"/>
              <w:rPr>
                <w:rFonts w:ascii="仿宋_GB2312" w:hAnsi="宋体" w:eastAsia="仿宋_GB2312"/>
                <w:b/>
                <w:bCs/>
                <w:kern w:val="0"/>
                <w:sz w:val="20"/>
                <w:szCs w:val="20"/>
              </w:rPr>
            </w:pPr>
            <w:r>
              <w:rPr>
                <w:rFonts w:hint="eastAsia" w:ascii="仿宋_GB2312" w:hAnsi="宋体" w:eastAsia="仿宋_GB2312"/>
                <w:b/>
                <w:bCs/>
                <w:kern w:val="0"/>
                <w:sz w:val="20"/>
                <w:szCs w:val="20"/>
                <w:lang w:eastAsia="zh-CN"/>
              </w:rPr>
              <w:t>群众工作人员补助经费</w:t>
            </w:r>
          </w:p>
        </w:tc>
        <w:tc>
          <w:tcPr>
            <w:tcW w:w="720" w:type="dxa"/>
            <w:shd w:val="clear" w:color="auto" w:fill="auto"/>
            <w:vAlign w:val="center"/>
          </w:tcPr>
          <w:p>
            <w:pPr>
              <w:widowControl/>
              <w:jc w:val="center"/>
              <w:outlineLvl w:val="1"/>
              <w:rPr>
                <w:rFonts w:hint="eastAsia" w:ascii="仿宋_GB2312" w:hAnsi="宋体" w:eastAsia="仿宋_GB2312"/>
                <w:b/>
                <w:bCs/>
                <w:kern w:val="0"/>
                <w:sz w:val="20"/>
                <w:szCs w:val="20"/>
                <w:lang w:val="en-US" w:eastAsia="zh-CN"/>
              </w:rPr>
            </w:pPr>
            <w:r>
              <w:rPr>
                <w:rFonts w:hint="eastAsia" w:ascii="仿宋_GB2312" w:hAnsi="宋体" w:eastAsia="仿宋_GB2312"/>
                <w:b/>
                <w:bCs/>
                <w:kern w:val="0"/>
                <w:sz w:val="20"/>
                <w:szCs w:val="20"/>
                <w:lang w:val="en-US" w:eastAsia="zh-CN"/>
              </w:rPr>
              <w:t>20.32</w:t>
            </w:r>
          </w:p>
        </w:tc>
        <w:tc>
          <w:tcPr>
            <w:tcW w:w="360" w:type="dxa"/>
            <w:shd w:val="clear" w:color="auto" w:fill="auto"/>
            <w:vAlign w:val="center"/>
          </w:tcPr>
          <w:p>
            <w:pPr>
              <w:widowControl/>
              <w:jc w:val="center"/>
              <w:outlineLvl w:val="1"/>
              <w:rPr>
                <w:rFonts w:ascii="仿宋_GB2312" w:hAnsi="宋体" w:eastAsia="仿宋_GB2312"/>
                <w:b/>
                <w:bCs/>
                <w:kern w:val="0"/>
                <w:sz w:val="20"/>
                <w:szCs w:val="20"/>
              </w:rPr>
            </w:pPr>
          </w:p>
        </w:tc>
        <w:tc>
          <w:tcPr>
            <w:tcW w:w="65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r>
              <w:rPr>
                <w:rFonts w:hint="eastAsia" w:ascii="仿宋_GB2312" w:hAnsi="宋体" w:eastAsia="仿宋_GB2312"/>
                <w:b/>
                <w:bCs/>
                <w:kern w:val="0"/>
                <w:sz w:val="20"/>
                <w:szCs w:val="20"/>
                <w:lang w:val="en-US" w:eastAsia="zh-CN"/>
              </w:rPr>
              <w:t>20.32</w:t>
            </w:r>
          </w:p>
        </w:tc>
        <w:tc>
          <w:tcPr>
            <w:tcW w:w="37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7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56"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1047" w:type="dxa"/>
            <w:shd w:val="clear" w:color="auto" w:fill="auto"/>
            <w:vAlign w:val="center"/>
          </w:tcPr>
          <w:p>
            <w:pPr>
              <w:widowControl/>
              <w:jc w:val="center"/>
              <w:outlineLvl w:val="1"/>
              <w:rPr>
                <w:rFonts w:ascii="仿宋_GB2312" w:hAnsi="宋体" w:eastAsia="仿宋_GB2312"/>
                <w:kern w:val="0"/>
                <w:sz w:val="32"/>
                <w:szCs w:val="32"/>
              </w:rPr>
            </w:pPr>
          </w:p>
        </w:tc>
        <w:tc>
          <w:tcPr>
            <w:tcW w:w="101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60" w:type="dxa"/>
            <w:shd w:val="clear" w:color="auto" w:fill="auto"/>
            <w:vAlign w:val="center"/>
          </w:tcPr>
          <w:p>
            <w:pPr>
              <w:widowControl/>
              <w:jc w:val="center"/>
              <w:outlineLvl w:val="1"/>
              <w:rPr>
                <w:rFonts w:ascii="仿宋_GB2312" w:hAnsi="宋体" w:eastAsia="仿宋_GB2312"/>
                <w:b/>
                <w:bCs/>
                <w:kern w:val="0"/>
                <w:sz w:val="20"/>
                <w:szCs w:val="20"/>
              </w:rPr>
            </w:pPr>
          </w:p>
        </w:tc>
        <w:tc>
          <w:tcPr>
            <w:tcW w:w="65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7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7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56"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1047" w:type="dxa"/>
            <w:shd w:val="clear" w:color="auto" w:fill="auto"/>
            <w:vAlign w:val="center"/>
          </w:tcPr>
          <w:p>
            <w:pPr>
              <w:widowControl/>
              <w:jc w:val="center"/>
              <w:outlineLvl w:val="1"/>
              <w:rPr>
                <w:rFonts w:ascii="仿宋_GB2312" w:hAnsi="宋体" w:eastAsia="仿宋_GB2312"/>
                <w:kern w:val="0"/>
                <w:sz w:val="32"/>
                <w:szCs w:val="32"/>
              </w:rPr>
            </w:pPr>
          </w:p>
        </w:tc>
        <w:tc>
          <w:tcPr>
            <w:tcW w:w="101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60" w:type="dxa"/>
            <w:shd w:val="clear" w:color="auto" w:fill="auto"/>
            <w:vAlign w:val="center"/>
          </w:tcPr>
          <w:p>
            <w:pPr>
              <w:widowControl/>
              <w:jc w:val="center"/>
              <w:outlineLvl w:val="1"/>
              <w:rPr>
                <w:rFonts w:ascii="仿宋_GB2312" w:hAnsi="宋体" w:eastAsia="仿宋_GB2312"/>
                <w:b/>
                <w:bCs/>
                <w:kern w:val="0"/>
                <w:sz w:val="20"/>
                <w:szCs w:val="20"/>
              </w:rPr>
            </w:pPr>
          </w:p>
        </w:tc>
        <w:tc>
          <w:tcPr>
            <w:tcW w:w="65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7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7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56"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1047" w:type="dxa"/>
            <w:shd w:val="clear" w:color="auto" w:fill="auto"/>
            <w:vAlign w:val="center"/>
          </w:tcPr>
          <w:p>
            <w:pPr>
              <w:widowControl/>
              <w:jc w:val="center"/>
              <w:outlineLvl w:val="1"/>
              <w:rPr>
                <w:rFonts w:ascii="仿宋_GB2312" w:hAnsi="宋体" w:eastAsia="仿宋_GB2312"/>
                <w:kern w:val="0"/>
                <w:sz w:val="32"/>
                <w:szCs w:val="32"/>
              </w:rPr>
            </w:pPr>
          </w:p>
        </w:tc>
        <w:tc>
          <w:tcPr>
            <w:tcW w:w="101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60" w:type="dxa"/>
            <w:shd w:val="clear" w:color="auto" w:fill="auto"/>
            <w:vAlign w:val="center"/>
          </w:tcPr>
          <w:p>
            <w:pPr>
              <w:widowControl/>
              <w:jc w:val="center"/>
              <w:outlineLvl w:val="1"/>
              <w:rPr>
                <w:rFonts w:ascii="仿宋_GB2312" w:hAnsi="宋体" w:eastAsia="仿宋_GB2312"/>
                <w:b/>
                <w:bCs/>
                <w:kern w:val="0"/>
                <w:sz w:val="20"/>
                <w:szCs w:val="20"/>
              </w:rPr>
            </w:pPr>
          </w:p>
        </w:tc>
        <w:tc>
          <w:tcPr>
            <w:tcW w:w="658" w:type="dxa"/>
            <w:shd w:val="clear" w:color="auto" w:fill="auto"/>
            <w:vAlign w:val="center"/>
          </w:tcPr>
          <w:p>
            <w:pPr>
              <w:widowControl/>
              <w:jc w:val="center"/>
              <w:outlineLvl w:val="1"/>
              <w:rPr>
                <w:rFonts w:ascii="仿宋_GB2312" w:hAnsi="宋体" w:eastAsia="仿宋_GB2312"/>
                <w:b/>
                <w:bCs/>
                <w:kern w:val="0"/>
                <w:sz w:val="20"/>
                <w:szCs w:val="20"/>
              </w:rPr>
            </w:pPr>
          </w:p>
        </w:tc>
        <w:tc>
          <w:tcPr>
            <w:tcW w:w="720" w:type="dxa"/>
            <w:shd w:val="clear" w:color="auto" w:fill="auto"/>
            <w:vAlign w:val="center"/>
          </w:tcPr>
          <w:p>
            <w:pPr>
              <w:widowControl/>
              <w:jc w:val="center"/>
              <w:outlineLvl w:val="1"/>
              <w:rPr>
                <w:rFonts w:ascii="仿宋_GB2312" w:hAnsi="宋体" w:eastAsia="仿宋_GB2312"/>
                <w:b/>
                <w:bCs/>
                <w:kern w:val="0"/>
                <w:sz w:val="20"/>
                <w:szCs w:val="20"/>
              </w:rPr>
            </w:pPr>
          </w:p>
        </w:tc>
        <w:tc>
          <w:tcPr>
            <w:tcW w:w="37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7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656"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495" w:type="dxa"/>
            <w:shd w:val="clear" w:color="auto" w:fill="auto"/>
            <w:vAlign w:val="center"/>
          </w:tcPr>
          <w:p>
            <w:pPr>
              <w:widowControl/>
              <w:jc w:val="center"/>
              <w:outlineLvl w:val="1"/>
              <w:rPr>
                <w:rFonts w:ascii="仿宋_GB2312" w:hAnsi="宋体" w:eastAsia="仿宋_GB2312"/>
                <w:kern w:val="0"/>
                <w:sz w:val="32"/>
                <w:szCs w:val="32"/>
              </w:rPr>
            </w:pPr>
          </w:p>
        </w:tc>
        <w:tc>
          <w:tcPr>
            <w:tcW w:w="1047" w:type="dxa"/>
            <w:shd w:val="clear" w:color="auto" w:fill="auto"/>
            <w:vAlign w:val="center"/>
          </w:tcPr>
          <w:p>
            <w:pPr>
              <w:widowControl/>
              <w:jc w:val="center"/>
              <w:outlineLvl w:val="1"/>
              <w:rPr>
                <w:rFonts w:ascii="仿宋_GB2312" w:hAnsi="宋体" w:eastAsia="仿宋_GB2312"/>
                <w:kern w:val="0"/>
                <w:sz w:val="32"/>
                <w:szCs w:val="32"/>
              </w:rPr>
            </w:pPr>
          </w:p>
        </w:tc>
        <w:tc>
          <w:tcPr>
            <w:tcW w:w="1018" w:type="dxa"/>
            <w:shd w:val="clear" w:color="auto" w:fill="auto"/>
            <w:vAlign w:val="center"/>
          </w:tcPr>
          <w:p>
            <w:pPr>
              <w:widowControl/>
              <w:jc w:val="center"/>
              <w:outlineLvl w:val="1"/>
              <w:rPr>
                <w:rFonts w:ascii="仿宋_GB2312" w:hAnsi="宋体" w:eastAsia="仿宋_GB2312"/>
                <w:b/>
                <w:bCs/>
                <w:kern w:val="0"/>
                <w:sz w:val="20"/>
                <w:szCs w:val="20"/>
              </w:rPr>
            </w:pPr>
            <w:r>
              <w:rPr>
                <w:rFonts w:hint="eastAsia" w:ascii="仿宋_GB2312" w:hAnsi="宋体" w:eastAsia="仿宋_GB2312"/>
                <w:b/>
                <w:bCs/>
                <w:kern w:val="0"/>
                <w:sz w:val="20"/>
                <w:szCs w:val="20"/>
              </w:rPr>
              <w:t>合计</w:t>
            </w:r>
          </w:p>
        </w:tc>
        <w:tc>
          <w:tcPr>
            <w:tcW w:w="720" w:type="dxa"/>
            <w:shd w:val="clear" w:color="auto" w:fill="auto"/>
            <w:vAlign w:val="center"/>
          </w:tcPr>
          <w:p>
            <w:pPr>
              <w:widowControl/>
              <w:jc w:val="center"/>
              <w:outlineLvl w:val="1"/>
              <w:rPr>
                <w:rFonts w:hint="eastAsia" w:ascii="仿宋_GB2312" w:hAnsi="宋体" w:eastAsia="仿宋_GB2312"/>
                <w:b/>
                <w:bCs/>
                <w:kern w:val="0"/>
                <w:sz w:val="20"/>
                <w:szCs w:val="20"/>
                <w:lang w:val="en-US" w:eastAsia="zh-CN"/>
              </w:rPr>
            </w:pPr>
            <w:r>
              <w:rPr>
                <w:rFonts w:hint="eastAsia" w:ascii="仿宋_GB2312" w:hAnsi="宋体" w:eastAsia="仿宋_GB2312"/>
                <w:b/>
                <w:bCs/>
                <w:kern w:val="0"/>
                <w:sz w:val="20"/>
                <w:szCs w:val="20"/>
                <w:lang w:val="en-US" w:eastAsia="zh-CN"/>
              </w:rPr>
              <w:t>25.32</w:t>
            </w:r>
          </w:p>
        </w:tc>
        <w:tc>
          <w:tcPr>
            <w:tcW w:w="360" w:type="dxa"/>
            <w:shd w:val="clear" w:color="auto" w:fill="auto"/>
            <w:vAlign w:val="center"/>
          </w:tcPr>
          <w:p>
            <w:pPr>
              <w:widowControl/>
              <w:jc w:val="center"/>
              <w:outlineLvl w:val="1"/>
              <w:rPr>
                <w:rFonts w:ascii="仿宋_GB2312" w:hAnsi="宋体" w:eastAsia="仿宋_GB2312"/>
                <w:b/>
                <w:bCs/>
                <w:kern w:val="0"/>
                <w:sz w:val="20"/>
                <w:szCs w:val="20"/>
              </w:rPr>
            </w:pPr>
          </w:p>
        </w:tc>
        <w:tc>
          <w:tcPr>
            <w:tcW w:w="658" w:type="dxa"/>
            <w:shd w:val="clear" w:color="auto" w:fill="auto"/>
            <w:vAlign w:val="center"/>
          </w:tcPr>
          <w:p>
            <w:pPr>
              <w:widowControl/>
              <w:jc w:val="center"/>
              <w:outlineLvl w:val="1"/>
              <w:rPr>
                <w:rFonts w:ascii="仿宋_GB2312" w:hAnsi="宋体" w:eastAsia="仿宋_GB2312"/>
                <w:b/>
                <w:bCs/>
                <w:kern w:val="0"/>
                <w:sz w:val="20"/>
                <w:szCs w:val="20"/>
                <w:lang w:val="en-US"/>
              </w:rPr>
            </w:pPr>
            <w:r>
              <w:rPr>
                <w:rFonts w:hint="eastAsia" w:ascii="仿宋_GB2312" w:hAnsi="宋体" w:eastAsia="仿宋_GB2312"/>
                <w:b/>
                <w:bCs/>
                <w:kern w:val="0"/>
                <w:sz w:val="20"/>
                <w:szCs w:val="20"/>
                <w:lang w:val="en-US" w:eastAsia="zh-CN"/>
              </w:rPr>
              <w:t>5.00</w:t>
            </w:r>
          </w:p>
        </w:tc>
        <w:tc>
          <w:tcPr>
            <w:tcW w:w="720" w:type="dxa"/>
            <w:shd w:val="clear" w:color="auto" w:fill="auto"/>
            <w:vAlign w:val="center"/>
          </w:tcPr>
          <w:p>
            <w:pPr>
              <w:widowControl/>
              <w:jc w:val="center"/>
              <w:outlineLvl w:val="1"/>
              <w:rPr>
                <w:rFonts w:ascii="仿宋_GB2312" w:hAnsi="宋体" w:eastAsia="仿宋_GB2312"/>
                <w:b/>
                <w:bCs/>
                <w:kern w:val="0"/>
                <w:sz w:val="20"/>
                <w:szCs w:val="20"/>
              </w:rPr>
            </w:pPr>
            <w:r>
              <w:rPr>
                <w:rFonts w:hint="eastAsia" w:ascii="仿宋_GB2312" w:hAnsi="宋体" w:eastAsia="仿宋_GB2312"/>
                <w:b/>
                <w:bCs/>
                <w:kern w:val="0"/>
                <w:sz w:val="20"/>
                <w:szCs w:val="20"/>
                <w:lang w:val="en-US" w:eastAsia="zh-CN"/>
              </w:rPr>
              <w:t>20.32</w:t>
            </w:r>
          </w:p>
        </w:tc>
        <w:tc>
          <w:tcPr>
            <w:tcW w:w="37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7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27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宋体" w:eastAsia="仿宋_GB2312"/>
          <w:kern w:val="0"/>
          <w:sz w:val="24"/>
        </w:rPr>
        <w:t xml:space="preserve">                 单位：万元</w:t>
      </w:r>
    </w:p>
    <w:tbl>
      <w:tblPr>
        <w:tblStyle w:val="10"/>
        <w:tblW w:w="8416" w:type="dxa"/>
        <w:tblInd w:w="93" w:type="dxa"/>
        <w:tblLayout w:type="fixed"/>
        <w:tblCellMar>
          <w:top w:w="0" w:type="dxa"/>
          <w:left w:w="108" w:type="dxa"/>
          <w:bottom w:w="0" w:type="dxa"/>
          <w:right w:w="108" w:type="dxa"/>
        </w:tblCellMar>
      </w:tblPr>
      <w:tblGrid>
        <w:gridCol w:w="1156"/>
        <w:gridCol w:w="1005"/>
        <w:gridCol w:w="1305"/>
        <w:gridCol w:w="1725"/>
        <w:gridCol w:w="1485"/>
        <w:gridCol w:w="1740"/>
      </w:tblGrid>
      <w:tr>
        <w:tblPrEx>
          <w:tblLayout w:type="fixed"/>
          <w:tblCellMar>
            <w:top w:w="0" w:type="dxa"/>
            <w:left w:w="108" w:type="dxa"/>
            <w:bottom w:w="0" w:type="dxa"/>
            <w:right w:w="108" w:type="dxa"/>
          </w:tblCellMar>
        </w:tblPrEx>
        <w:trPr>
          <w:trHeight w:val="546" w:hRule="atLeast"/>
        </w:trPr>
        <w:tc>
          <w:tcPr>
            <w:tcW w:w="11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0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1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0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30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4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1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仿宋_GB2312" w:hAnsi="宋体" w:eastAsia="仿宋_GB2312"/>
                <w:b/>
                <w:bCs/>
                <w:kern w:val="0"/>
                <w:sz w:val="20"/>
                <w:szCs w:val="20"/>
                <w:lang w:val="en-US" w:eastAsia="zh-CN"/>
              </w:rPr>
              <w:t>3.90</w:t>
            </w:r>
          </w:p>
        </w:tc>
        <w:tc>
          <w:tcPr>
            <w:tcW w:w="10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仿宋_GB2312" w:hAnsi="宋体" w:eastAsia="仿宋_GB2312"/>
                <w:b/>
                <w:bCs/>
                <w:kern w:val="0"/>
                <w:sz w:val="20"/>
                <w:szCs w:val="20"/>
                <w:lang w:val="en-US" w:eastAsia="zh-CN"/>
              </w:rPr>
              <w:t>3.90</w:t>
            </w:r>
          </w:p>
        </w:tc>
        <w:tc>
          <w:tcPr>
            <w:tcW w:w="17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仿宋_GB2312" w:hAnsi="宋体" w:eastAsia="仿宋_GB2312"/>
                <w:b/>
                <w:bCs/>
                <w:kern w:val="0"/>
                <w:sz w:val="20"/>
                <w:szCs w:val="20"/>
                <w:lang w:val="en-US" w:eastAsia="zh-CN"/>
              </w:rPr>
              <w:t>3.90</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1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1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1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15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30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keepNext w:val="0"/>
        <w:keepLines w:val="0"/>
        <w:pageBreakBefore w:val="0"/>
        <w:widowControl/>
        <w:kinsoku/>
        <w:wordWrap/>
        <w:overflowPunct/>
        <w:topLinePunct w:val="0"/>
        <w:autoSpaceDE/>
        <w:autoSpaceDN/>
        <w:bidi w:val="0"/>
        <w:adjustRightInd/>
        <w:snapToGrid/>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仿宋_GB2312" w:eastAsia="仿宋_GB2312" w:cs="仿宋_GB2312"/>
          <w:color w:val="auto"/>
          <w:kern w:val="0"/>
          <w:sz w:val="24"/>
          <w:szCs w:val="24"/>
          <w:lang w:eastAsia="zh-CN"/>
        </w:rPr>
        <w:t>克孜勒苏柯尔克孜自治州</w:t>
      </w:r>
      <w:r>
        <w:rPr>
          <w:rFonts w:hint="eastAsia" w:ascii="仿宋_GB2312" w:hAnsi="仿宋_GB2312" w:eastAsia="仿宋_GB2312" w:cs="仿宋_GB2312"/>
          <w:color w:val="auto"/>
          <w:kern w:val="0"/>
          <w:sz w:val="24"/>
          <w:szCs w:val="24"/>
        </w:rPr>
        <w:t>草原监理所</w:t>
      </w:r>
      <w:r>
        <w:rPr>
          <w:rFonts w:hint="eastAsia" w:ascii="仿宋_GB2312" w:hAnsi="宋体" w:eastAsia="仿宋_GB2312"/>
          <w:kern w:val="0"/>
          <w:sz w:val="24"/>
        </w:rPr>
        <w:t xml:space="preserve">             单位：万元</w:t>
      </w:r>
    </w:p>
    <w:tbl>
      <w:tblPr>
        <w:tblStyle w:val="10"/>
        <w:tblW w:w="8386" w:type="dxa"/>
        <w:tblInd w:w="93" w:type="dxa"/>
        <w:tblLayout w:type="fixed"/>
        <w:tblCellMar>
          <w:top w:w="0" w:type="dxa"/>
          <w:left w:w="108" w:type="dxa"/>
          <w:bottom w:w="0" w:type="dxa"/>
          <w:right w:w="108" w:type="dxa"/>
        </w:tblCellMar>
      </w:tblPr>
      <w:tblGrid>
        <w:gridCol w:w="458"/>
        <w:gridCol w:w="457"/>
        <w:gridCol w:w="457"/>
        <w:gridCol w:w="2184"/>
        <w:gridCol w:w="1335"/>
        <w:gridCol w:w="1680"/>
        <w:gridCol w:w="1815"/>
      </w:tblGrid>
      <w:tr>
        <w:tblPrEx>
          <w:tblLayout w:type="fixed"/>
          <w:tblCellMar>
            <w:top w:w="0" w:type="dxa"/>
            <w:left w:w="108" w:type="dxa"/>
            <w:bottom w:w="0" w:type="dxa"/>
            <w:right w:w="108" w:type="dxa"/>
          </w:tblCellMar>
        </w:tblPrEx>
        <w:trPr>
          <w:trHeight w:val="465" w:hRule="atLeast"/>
        </w:trPr>
        <w:tc>
          <w:tcPr>
            <w:tcW w:w="355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3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37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1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3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8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1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3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6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81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6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1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1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18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1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18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33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68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815"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hint="eastAsia" w:ascii="仿宋_GB2312" w:hAnsi="宋体" w:eastAsia="仿宋_GB2312"/>
          <w:b/>
          <w:kern w:val="0"/>
          <w:sz w:val="28"/>
          <w:szCs w:val="32"/>
        </w:rPr>
      </w:pPr>
    </w:p>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201</w:t>
      </w:r>
      <w:r>
        <w:rPr>
          <w:rFonts w:hint="eastAsia" w:ascii="仿宋_GB2312" w:hAnsi="宋体" w:eastAsia="仿宋_GB2312"/>
          <w:b/>
          <w:kern w:val="0"/>
          <w:sz w:val="28"/>
          <w:szCs w:val="32"/>
          <w:lang w:val="en-US" w:eastAsia="zh-CN"/>
        </w:rPr>
        <w:t>9</w:t>
      </w:r>
      <w:r>
        <w:rPr>
          <w:rFonts w:hint="eastAsia" w:ascii="仿宋_GB2312" w:hAnsi="宋体" w:eastAsia="仿宋_GB2312"/>
          <w:b/>
          <w:kern w:val="0"/>
          <w:sz w:val="28"/>
          <w:szCs w:val="32"/>
          <w:lang w:eastAsia="zh-CN"/>
        </w:rPr>
        <w:t>年克孜勒苏柯尔克孜自治州</w:t>
      </w:r>
      <w:r>
        <w:rPr>
          <w:rFonts w:hint="eastAsia" w:ascii="仿宋_GB2312" w:hAnsi="宋体" w:eastAsia="仿宋_GB2312"/>
          <w:b/>
          <w:kern w:val="0"/>
          <w:sz w:val="28"/>
          <w:szCs w:val="32"/>
        </w:rPr>
        <w:t>草原监理所没有政府性基金预算支出，故此表为空表。</w:t>
      </w:r>
    </w:p>
    <w:p>
      <w:pPr>
        <w:widowControl/>
        <w:jc w:val="left"/>
        <w:outlineLvl w:val="1"/>
        <w:rPr>
          <w:rFonts w:ascii="仿宋_GB2312" w:hAnsi="宋体" w:eastAsia="仿宋_GB2312"/>
          <w:kern w:val="0"/>
          <w:sz w:val="32"/>
          <w:szCs w:val="32"/>
        </w:rPr>
        <w:sectPr>
          <w:footerReference r:id="rId5" w:type="default"/>
          <w:pgSz w:w="11906" w:h="16838"/>
          <w:pgMar w:top="2098" w:right="1418" w:bottom="1928" w:left="1588" w:header="851" w:footer="992" w:gutter="0"/>
          <w:pgNumType w:fmt="numberInDash" w:start="2"/>
          <w:cols w:space="720" w:num="1"/>
          <w:docGrid w:linePitch="312" w:charSpace="0"/>
        </w:sectPr>
      </w:pPr>
    </w:p>
    <w:p>
      <w:pPr>
        <w:keepNext w:val="0"/>
        <w:keepLines w:val="0"/>
        <w:pageBreakBefore w:val="0"/>
        <w:widowControl/>
        <w:kinsoku/>
        <w:wordWrap/>
        <w:overflowPunct/>
        <w:topLinePunct w:val="0"/>
        <w:autoSpaceDE/>
        <w:autoSpaceDN/>
        <w:bidi w:val="0"/>
        <w:adjustRightInd/>
        <w:snapToGrid/>
        <w:spacing w:beforeLines="50" w:line="500" w:lineRule="exact"/>
        <w:ind w:left="0" w:leftChars="0" w:right="0" w:rightChars="0"/>
        <w:jc w:val="center"/>
        <w:textAlignment w:val="auto"/>
        <w:outlineLvl w:val="1"/>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草原监理所201</w:t>
      </w:r>
      <w:r>
        <w:rPr>
          <w:rFonts w:hint="eastAsia" w:ascii="仿宋_GB2312" w:hAnsi="仿宋_GB2312" w:eastAsia="仿宋_GB2312" w:cs="仿宋_GB2312"/>
          <w:color w:val="auto"/>
          <w:kern w:val="0"/>
          <w:sz w:val="32"/>
          <w:szCs w:val="32"/>
          <w:shd w:val="clear" w:color="auto" w:fill="FFFFFF"/>
          <w:lang w:val="en-US" w:eastAsia="zh-CN"/>
        </w:rPr>
        <w:t>9</w:t>
      </w:r>
      <w:r>
        <w:rPr>
          <w:rFonts w:hint="eastAsia" w:ascii="仿宋_GB2312" w:hAnsi="仿宋_GB2312" w:eastAsia="仿宋_GB2312" w:cs="仿宋_GB2312"/>
          <w:color w:val="auto"/>
          <w:kern w:val="0"/>
          <w:sz w:val="32"/>
          <w:szCs w:val="32"/>
          <w:shd w:val="clear" w:color="auto" w:fill="FFFFFF"/>
        </w:rPr>
        <w:t>年</w:t>
      </w:r>
      <w:r>
        <w:rPr>
          <w:rFonts w:hint="eastAsia" w:ascii="仿宋_GB2312" w:hAnsi="宋体" w:eastAsia="仿宋_GB2312" w:cs="宋体"/>
          <w:kern w:val="0"/>
          <w:sz w:val="32"/>
          <w:szCs w:val="32"/>
        </w:rPr>
        <w:t>所有收入和支出均纳入部门预算管理。收支总预算</w:t>
      </w:r>
      <w:r>
        <w:rPr>
          <w:rFonts w:hint="eastAsia" w:ascii="仿宋_GB2312" w:hAnsi="宋体" w:eastAsia="仿宋_GB2312" w:cs="宋体"/>
          <w:kern w:val="0"/>
          <w:sz w:val="32"/>
          <w:szCs w:val="32"/>
          <w:lang w:val="en-US" w:eastAsia="zh-CN"/>
        </w:rPr>
        <w:t>415.61</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403.30万元，</w:t>
      </w:r>
      <w:r>
        <w:rPr>
          <w:rFonts w:hint="eastAsia" w:ascii="仿宋_GB2312" w:hAnsi="宋体" w:eastAsia="仿宋_GB2312" w:cs="宋体"/>
          <w:kern w:val="0"/>
          <w:sz w:val="32"/>
          <w:szCs w:val="32"/>
        </w:rPr>
        <w:t>单位上年结余</w:t>
      </w:r>
      <w:r>
        <w:rPr>
          <w:rFonts w:hint="eastAsia" w:ascii="仿宋_GB2312" w:hAnsi="宋体" w:eastAsia="仿宋_GB2312" w:cs="宋体"/>
          <w:kern w:val="0"/>
          <w:sz w:val="32"/>
          <w:szCs w:val="32"/>
          <w:lang w:val="en-US" w:eastAsia="zh-CN"/>
        </w:rPr>
        <w:t>12.31万元</w:t>
      </w:r>
      <w:r>
        <w:rPr>
          <w:rFonts w:hint="eastAsia" w:ascii="仿宋_GB2312" w:hAnsi="宋体" w:eastAsia="仿宋_GB2312" w:cs="宋体"/>
          <w:kern w:val="0"/>
          <w:sz w:val="32"/>
          <w:szCs w:val="32"/>
        </w:rPr>
        <w:t>（不包括国库集中支付额度结余）。</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支出预算包括：</w:t>
      </w:r>
      <w:r>
        <w:rPr>
          <w:rFonts w:hint="eastAsia" w:ascii="仿宋_GB2312" w:hAnsi="宋体" w:eastAsia="仿宋_GB2312" w:cs="宋体"/>
          <w:kern w:val="0"/>
          <w:sz w:val="32"/>
          <w:szCs w:val="32"/>
          <w:lang w:val="en-US" w:eastAsia="zh-CN"/>
        </w:rPr>
        <w:t>213农林水支出415.61万元。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415.61</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元，其中：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403.30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97.04</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28.65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在职人员正常调资和基本工资</w:t>
      </w:r>
      <w:r>
        <w:rPr>
          <w:rFonts w:hint="eastAsia" w:ascii="仿宋_GB2312" w:hAnsi="宋体" w:eastAsia="仿宋_GB2312" w:cs="宋体"/>
          <w:kern w:val="0"/>
          <w:sz w:val="32"/>
          <w:szCs w:val="32"/>
          <w:lang w:val="en-US" w:eastAsia="zh-CN"/>
        </w:rPr>
        <w:t>增资及其对个人社会保障缴费、住房公积金缴费影响，增加</w:t>
      </w: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eastAsia="zh-CN"/>
        </w:rPr>
        <w:t>基本支出中人员经费</w:t>
      </w:r>
      <w:r>
        <w:rPr>
          <w:rFonts w:hint="eastAsia" w:ascii="仿宋_GB2312" w:hAnsi="宋体" w:eastAsia="仿宋_GB2312" w:cs="宋体"/>
          <w:kern w:val="0"/>
          <w:sz w:val="32"/>
          <w:szCs w:val="32"/>
          <w:lang w:val="en-US" w:eastAsia="zh-CN"/>
        </w:rPr>
        <w:t>18.39万元；相应增加公用经费中福利费、工会经费0.45万元。项目支出本年度群众工作由上年度与其他单位共同执行改为本单位独立完成，因此增加了联建工作经费5.00万元，群众工作人员补助经费比上年净增加4.80万元</w:t>
      </w:r>
      <w:r>
        <w:rPr>
          <w:rFonts w:hint="eastAsia" w:ascii="仿宋_GB2312" w:hAnsi="宋体" w:eastAsia="仿宋_GB2312" w:cs="宋体"/>
          <w:kern w:val="0"/>
          <w:sz w:val="32"/>
          <w:szCs w:val="32"/>
          <w:highlight w:val="none"/>
          <w:lang w:val="en-US" w:eastAsia="zh-CN"/>
        </w:rPr>
        <w:t>。</w:t>
      </w:r>
      <w:r>
        <w:rPr>
          <w:rFonts w:hint="eastAsia" w:ascii="仿宋_GB2312" w:hAnsi="宋体" w:eastAsia="仿宋_GB2312" w:cs="宋体"/>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highlight w:val="none"/>
        </w:rPr>
      </w:pPr>
      <w:r>
        <w:rPr>
          <w:rFonts w:hint="eastAsia" w:ascii="仿宋_GB2312" w:hAnsi="宋体" w:eastAsia="仿宋_GB2312" w:cs="宋体"/>
          <w:kern w:val="0"/>
          <w:sz w:val="32"/>
          <w:szCs w:val="32"/>
        </w:rPr>
        <w:t>政府性基金预算未安排。</w:t>
      </w:r>
      <w:r>
        <w:rPr>
          <w:rFonts w:hint="eastAsia" w:ascii="仿宋_GB2312" w:hAnsi="宋体" w:eastAsia="仿宋_GB2312" w:cs="宋体"/>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单位上年结余（不包括国库集中支付额度结余）</w:t>
      </w:r>
      <w:r>
        <w:rPr>
          <w:rFonts w:hint="eastAsia" w:ascii="仿宋_GB2312" w:hAnsi="宋体" w:eastAsia="仿宋_GB2312" w:cs="宋体"/>
          <w:kern w:val="0"/>
          <w:sz w:val="32"/>
          <w:szCs w:val="32"/>
          <w:lang w:val="en-US" w:eastAsia="zh-CN"/>
        </w:rPr>
        <w:t>12.31</w:t>
      </w:r>
      <w:r>
        <w:rPr>
          <w:rFonts w:hint="eastAsia" w:ascii="仿宋_GB2312" w:hAnsi="宋体" w:eastAsia="仿宋_GB2312" w:cs="宋体"/>
          <w:kern w:val="0"/>
          <w:sz w:val="32"/>
          <w:szCs w:val="32"/>
          <w:lang w:eastAsia="zh-CN"/>
        </w:rPr>
        <w:t>万元，占</w:t>
      </w:r>
      <w:r>
        <w:rPr>
          <w:rFonts w:hint="eastAsia" w:ascii="仿宋_GB2312" w:hAnsi="宋体" w:eastAsia="仿宋_GB2312" w:cs="宋体"/>
          <w:kern w:val="0"/>
          <w:sz w:val="32"/>
          <w:szCs w:val="32"/>
          <w:lang w:val="en-US" w:eastAsia="zh-CN"/>
        </w:rPr>
        <w:t>2.96</w:t>
      </w:r>
      <w:r>
        <w:rPr>
          <w:rFonts w:hint="eastAsia" w:ascii="仿宋_GB2312" w:hAnsi="宋体" w:eastAsia="仿宋_GB2312" w:cs="宋体"/>
          <w:kern w:val="0"/>
          <w:sz w:val="32"/>
          <w:szCs w:val="32"/>
          <w:lang w:eastAsia="zh-CN"/>
        </w:rPr>
        <w:t>%，比上年增加</w:t>
      </w:r>
      <w:r>
        <w:rPr>
          <w:rFonts w:hint="eastAsia" w:ascii="仿宋_GB2312" w:hAnsi="宋体" w:eastAsia="仿宋_GB2312" w:cs="宋体"/>
          <w:kern w:val="0"/>
          <w:sz w:val="32"/>
          <w:szCs w:val="32"/>
          <w:lang w:val="en-US" w:eastAsia="zh-CN"/>
        </w:rPr>
        <w:t>12.31</w:t>
      </w:r>
      <w:r>
        <w:rPr>
          <w:rFonts w:hint="eastAsia" w:ascii="仿宋_GB2312" w:hAnsi="宋体" w:eastAsia="仿宋_GB2312" w:cs="宋体"/>
          <w:kern w:val="0"/>
          <w:sz w:val="32"/>
          <w:szCs w:val="32"/>
          <w:lang w:eastAsia="zh-CN"/>
        </w:rPr>
        <w:t>万元，主要原因是上年度驻村工作人员补贴结转0.90万元；为民办实事工作经费结转0.96万元；财政拨款项目支出结转草原生态修复治理绩效奖励项目结转9.45万元，其他资金年末结转草原补奖工作经费结转</w:t>
      </w:r>
      <w:r>
        <w:rPr>
          <w:rFonts w:hint="eastAsia" w:ascii="仿宋_GB2312" w:hAnsi="宋体" w:eastAsia="仿宋_GB2312" w:cs="宋体"/>
          <w:kern w:val="0"/>
          <w:sz w:val="32"/>
          <w:szCs w:val="32"/>
          <w:lang w:val="en-US" w:eastAsia="zh-CN"/>
        </w:rPr>
        <w:t>1.00万元。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仿宋_GB2312" w:eastAsia="仿宋_GB2312" w:cs="仿宋_GB2312"/>
          <w:color w:val="auto"/>
          <w:kern w:val="0"/>
          <w:sz w:val="32"/>
          <w:szCs w:val="32"/>
          <w:shd w:val="clear" w:color="auto" w:fill="FFFFFF"/>
          <w:lang w:val="en-US" w:eastAsia="zh-CN"/>
        </w:rPr>
        <w:t>2019</w:t>
      </w:r>
      <w:r>
        <w:rPr>
          <w:rFonts w:hint="eastAsia" w:ascii="仿宋_GB2312" w:hAnsi="宋体" w:eastAsia="仿宋_GB2312" w:cs="宋体"/>
          <w:kern w:val="0"/>
          <w:sz w:val="32"/>
          <w:szCs w:val="32"/>
        </w:rPr>
        <w:t>年支出预算</w:t>
      </w:r>
      <w:r>
        <w:rPr>
          <w:rFonts w:hint="eastAsia" w:ascii="仿宋_GB2312" w:hAnsi="宋体" w:eastAsia="仿宋_GB2312" w:cs="宋体"/>
          <w:kern w:val="0"/>
          <w:sz w:val="32"/>
          <w:szCs w:val="32"/>
          <w:lang w:val="en-US" w:eastAsia="zh-CN"/>
        </w:rPr>
        <w:t>415.61</w:t>
      </w:r>
      <w:r>
        <w:rPr>
          <w:rFonts w:hint="eastAsia" w:ascii="仿宋_GB2312" w:hAnsi="宋体" w:eastAsia="仿宋_GB2312" w:cs="宋体"/>
          <w:kern w:val="0"/>
          <w:sz w:val="32"/>
          <w:szCs w:val="32"/>
          <w:lang w:eastAsia="zh-CN"/>
        </w:rPr>
        <w:t>万</w:t>
      </w:r>
      <w:r>
        <w:rPr>
          <w:rFonts w:hint="eastAsia" w:ascii="仿宋_GB2312" w:hAnsi="宋体" w:eastAsia="仿宋_GB2312" w:cs="宋体"/>
          <w:kern w:val="0"/>
          <w:sz w:val="32"/>
          <w:szCs w:val="32"/>
        </w:rPr>
        <w:t>元，其中：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390.29</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93.91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21.16</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在职人员正常调资和基本工资</w:t>
      </w:r>
      <w:r>
        <w:rPr>
          <w:rFonts w:hint="eastAsia" w:ascii="仿宋_GB2312" w:hAnsi="宋体" w:eastAsia="仿宋_GB2312" w:cs="宋体"/>
          <w:kern w:val="0"/>
          <w:sz w:val="32"/>
          <w:szCs w:val="32"/>
          <w:lang w:val="en-US" w:eastAsia="zh-CN"/>
        </w:rPr>
        <w:t>增资及其对个人社会保障缴费、住房公积金缴费影响，增加</w:t>
      </w: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eastAsia="zh-CN"/>
        </w:rPr>
        <w:t>基本支出中人员经费</w:t>
      </w:r>
      <w:r>
        <w:rPr>
          <w:rFonts w:hint="eastAsia" w:ascii="仿宋_GB2312" w:hAnsi="宋体" w:eastAsia="仿宋_GB2312" w:cs="宋体"/>
          <w:kern w:val="0"/>
          <w:sz w:val="32"/>
          <w:szCs w:val="32"/>
          <w:lang w:val="en-US" w:eastAsia="zh-CN"/>
        </w:rPr>
        <w:t>18.39万元；相应增加公用经费中福利费、工会经费0.45万元</w:t>
      </w:r>
      <w:r>
        <w:rPr>
          <w:rFonts w:hint="eastAsia" w:ascii="仿宋_GB2312" w:hAnsi="宋体" w:eastAsia="仿宋_GB2312" w:cs="宋体"/>
          <w:kern w:val="0"/>
          <w:sz w:val="32"/>
          <w:szCs w:val="32"/>
          <w:lang w:eastAsia="zh-CN"/>
        </w:rPr>
        <w:t>，上年结余中增加基本支</w:t>
      </w:r>
      <w:r>
        <w:rPr>
          <w:rFonts w:hint="eastAsia" w:ascii="仿宋_GB2312" w:hAnsi="宋体" w:eastAsia="仿宋_GB2312" w:cs="宋体"/>
          <w:kern w:val="0"/>
          <w:sz w:val="32"/>
          <w:szCs w:val="32"/>
          <w:lang w:val="en-US" w:eastAsia="zh-CN"/>
        </w:rPr>
        <w:t>出2.32万元。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25.32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6.09</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9.80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highlight w:val="none"/>
          <w:lang w:val="en-US" w:eastAsia="zh-CN"/>
        </w:rPr>
        <w:t>本年度</w:t>
      </w:r>
      <w:r>
        <w:rPr>
          <w:rFonts w:hint="eastAsia" w:ascii="仿宋_GB2312" w:hAnsi="宋体" w:eastAsia="仿宋_GB2312" w:cs="宋体"/>
          <w:kern w:val="0"/>
          <w:sz w:val="32"/>
          <w:szCs w:val="32"/>
          <w:lang w:val="en-US" w:eastAsia="zh-CN"/>
        </w:rPr>
        <w:t>群众工作由上年度与其他单位共同执行改为本单位独立完成，因此</w:t>
      </w:r>
      <w:r>
        <w:rPr>
          <w:rFonts w:hint="eastAsia" w:ascii="仿宋_GB2312" w:hAnsi="宋体" w:eastAsia="仿宋_GB2312" w:cs="宋体"/>
          <w:kern w:val="0"/>
          <w:sz w:val="32"/>
          <w:szCs w:val="32"/>
          <w:highlight w:val="none"/>
          <w:lang w:val="en-US" w:eastAsia="zh-CN"/>
        </w:rPr>
        <w:t>新增联建工作经费5.00万元，群众工作人员补助经费比上年净增加4.80万元</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w:t>
      </w:r>
      <w:r>
        <w:rPr>
          <w:rFonts w:hint="eastAsia" w:ascii="黑体" w:hAnsi="黑体" w:eastAsia="黑体" w:cs="宋体"/>
          <w:bCs/>
          <w:kern w:val="0"/>
          <w:sz w:val="32"/>
          <w:szCs w:val="32"/>
        </w:rPr>
        <w:t>财政拨款收支预算情况的总体说明</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403.30</w:t>
      </w:r>
      <w:r>
        <w:rPr>
          <w:rFonts w:hint="eastAsia" w:ascii="仿宋_GB2312" w:hAnsi="宋体" w:eastAsia="仿宋_GB2312" w:cs="宋体"/>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w:t>
      </w:r>
      <w:r>
        <w:rPr>
          <w:rFonts w:hint="eastAsia" w:ascii="仿宋_GB2312" w:hAnsi="宋体" w:eastAsia="仿宋_GB2312" w:cs="宋体"/>
          <w:kern w:val="0"/>
          <w:sz w:val="32"/>
          <w:szCs w:val="32"/>
          <w:lang w:val="en-US" w:eastAsia="zh-CN"/>
        </w:rPr>
        <w:t>403.30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政府性基金预算拨款。</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val="en-US" w:eastAsia="zh-CN"/>
        </w:rPr>
        <w:t>403.30</w:t>
      </w:r>
      <w:r>
        <w:rPr>
          <w:rFonts w:hint="eastAsia" w:ascii="仿宋_GB2312" w:hAnsi="宋体" w:eastAsia="仿宋_GB2312" w:cs="宋体"/>
          <w:kern w:val="0"/>
          <w:sz w:val="32"/>
          <w:szCs w:val="32"/>
        </w:rPr>
        <w:t>万元，主要用于</w:t>
      </w:r>
      <w:r>
        <w:rPr>
          <w:rFonts w:hint="eastAsia" w:ascii="仿宋_GB2312" w:hAnsi="宋体" w:eastAsia="仿宋_GB2312" w:cs="宋体"/>
          <w:kern w:val="0"/>
          <w:sz w:val="32"/>
          <w:szCs w:val="32"/>
          <w:lang w:val="en-US" w:eastAsia="zh-CN"/>
        </w:rPr>
        <w:t>基本支出377.98万元，项目支出25.32万元</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仿宋_GB2312" w:eastAsia="仿宋_GB2312" w:cs="仿宋_GB2312"/>
          <w:color w:val="auto"/>
          <w:kern w:val="0"/>
          <w:sz w:val="32"/>
          <w:szCs w:val="32"/>
          <w:shd w:val="clear" w:color="auto" w:fill="FFFFFF"/>
          <w:lang w:val="en-US" w:eastAsia="zh-CN"/>
        </w:rPr>
        <w:t>2019</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377.98</w:t>
      </w:r>
      <w:r>
        <w:rPr>
          <w:rFonts w:hint="eastAsia" w:ascii="仿宋_GB2312" w:hAnsi="宋体" w:eastAsia="仿宋_GB2312" w:cs="宋体"/>
          <w:kern w:val="0"/>
          <w:sz w:val="32"/>
          <w:szCs w:val="32"/>
        </w:rPr>
        <w:t>万元，比上年执行数减少</w:t>
      </w:r>
      <w:r>
        <w:rPr>
          <w:rFonts w:hint="eastAsia" w:ascii="仿宋_GB2312" w:hAnsi="宋体" w:eastAsia="仿宋_GB2312" w:cs="宋体"/>
          <w:kern w:val="0"/>
          <w:sz w:val="32"/>
          <w:szCs w:val="32"/>
          <w:lang w:val="en-US" w:eastAsia="zh-CN"/>
        </w:rPr>
        <w:t>84.10</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18.20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上年度退休人员死亡</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lang w:eastAsia="zh-CN"/>
        </w:rPr>
        <w:t>减少了抚恤金的支出预算和综合治理奖励金、绩效考核奖等无法预定的支出预算。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ascii="仿宋_GB2312" w:hAnsi="宋体" w:eastAsia="仿宋_GB2312" w:cs="宋体"/>
          <w:kern w:val="0"/>
          <w:sz w:val="32"/>
          <w:szCs w:val="32"/>
        </w:rPr>
      </w:pPr>
      <w:r>
        <w:rPr>
          <w:rFonts w:hint="eastAsia" w:ascii="仿宋_GB2312" w:eastAsia="仿宋_GB2312"/>
          <w:sz w:val="32"/>
          <w:szCs w:val="32"/>
        </w:rPr>
        <w:t>1.农林水支出（</w:t>
      </w:r>
      <w:r>
        <w:rPr>
          <w:rFonts w:hint="eastAsia" w:ascii="仿宋_GB2312" w:eastAsia="仿宋_GB2312"/>
          <w:sz w:val="32"/>
          <w:szCs w:val="32"/>
          <w:lang w:val="en-US" w:eastAsia="zh-CN"/>
        </w:rPr>
        <w:t>213</w:t>
      </w:r>
      <w:r>
        <w:rPr>
          <w:rFonts w:hint="eastAsia" w:ascii="仿宋_GB2312" w:eastAsia="仿宋_GB2312"/>
          <w:sz w:val="32"/>
          <w:szCs w:val="32"/>
        </w:rPr>
        <w:t>类）基本支出</w:t>
      </w:r>
      <w:r>
        <w:rPr>
          <w:rFonts w:hint="eastAsia" w:ascii="仿宋_GB2312" w:hAnsi="Times New Roman" w:eastAsia="仿宋_GB2312" w:cs="Times New Roman"/>
          <w:sz w:val="32"/>
          <w:szCs w:val="32"/>
          <w:lang w:val="en-US" w:eastAsia="zh-CN"/>
        </w:rPr>
        <w:t>377.98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93.72</w:t>
      </w:r>
      <w:r>
        <w:rPr>
          <w:rFonts w:hint="eastAsia" w:ascii="仿宋_GB2312" w:hAnsi="宋体" w:eastAsia="仿宋_GB2312" w:cs="宋体"/>
          <w:kern w:val="0"/>
          <w:sz w:val="32"/>
          <w:szCs w:val="32"/>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w:t>
      </w:r>
      <w:r>
        <w:rPr>
          <w:rFonts w:hint="eastAsia" w:ascii="仿宋_GB2312" w:eastAsia="仿宋_GB2312"/>
          <w:sz w:val="32"/>
          <w:szCs w:val="32"/>
        </w:rPr>
        <w:t>农林水支出（</w:t>
      </w:r>
      <w:r>
        <w:rPr>
          <w:rFonts w:hint="eastAsia" w:ascii="仿宋_GB2312" w:eastAsia="仿宋_GB2312"/>
          <w:sz w:val="32"/>
          <w:szCs w:val="32"/>
          <w:lang w:val="en-US" w:eastAsia="zh-CN"/>
        </w:rPr>
        <w:t>213</w:t>
      </w:r>
      <w:r>
        <w:rPr>
          <w:rFonts w:hint="eastAsia" w:ascii="仿宋_GB2312" w:eastAsia="仿宋_GB2312"/>
          <w:sz w:val="32"/>
          <w:szCs w:val="32"/>
        </w:rPr>
        <w:t>类）</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楷体_GB2312" w:eastAsia="楷体_GB2312"/>
          <w:b w:val="0"/>
          <w:bCs/>
          <w:sz w:val="32"/>
          <w:szCs w:val="32"/>
          <w:lang w:val="en-US" w:eastAsia="zh-CN"/>
        </w:rPr>
        <w:t>25.32</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6.28</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val="en-US" w:eastAsia="zh-CN"/>
        </w:rPr>
      </w:pPr>
      <w:r>
        <w:rPr>
          <w:rFonts w:hint="eastAsia" w:ascii="仿宋_GB2312" w:eastAsia="仿宋_GB2312"/>
          <w:sz w:val="32"/>
          <w:szCs w:val="32"/>
        </w:rPr>
        <w:t>农林水支出（</w:t>
      </w:r>
      <w:r>
        <w:rPr>
          <w:rFonts w:hint="eastAsia" w:ascii="仿宋_GB2312" w:eastAsia="仿宋_GB2312"/>
          <w:sz w:val="32"/>
          <w:szCs w:val="32"/>
          <w:lang w:val="en-US" w:eastAsia="zh-CN"/>
        </w:rPr>
        <w:t>213</w:t>
      </w:r>
      <w:r>
        <w:rPr>
          <w:rFonts w:hint="eastAsia" w:ascii="仿宋_GB2312" w:eastAsia="仿宋_GB2312"/>
          <w:sz w:val="32"/>
          <w:szCs w:val="32"/>
        </w:rPr>
        <w:t>类）</w:t>
      </w:r>
      <w:r>
        <w:rPr>
          <w:rFonts w:hint="eastAsia" w:ascii="仿宋_GB2312" w:hAnsi="宋体" w:eastAsia="仿宋_GB2312" w:cs="宋体"/>
          <w:kern w:val="0"/>
          <w:sz w:val="32"/>
          <w:szCs w:val="32"/>
          <w:lang w:eastAsia="zh-CN"/>
        </w:rPr>
        <w:t>农业</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款）:</w:t>
      </w:r>
      <w:r>
        <w:rPr>
          <w:rFonts w:hint="eastAsia" w:ascii="仿宋_GB2312" w:hAnsi="宋体" w:eastAsia="仿宋_GB2312" w:cs="宋体"/>
          <w:kern w:val="0"/>
          <w:sz w:val="32"/>
          <w:szCs w:val="32"/>
          <w:lang w:val="en-US" w:eastAsia="zh-CN"/>
        </w:rPr>
        <w:t>2019</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403.30</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57.37</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12.45</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：基本支出上年度退休人员死亡</w:t>
      </w:r>
      <w:r>
        <w:rPr>
          <w:rFonts w:hint="eastAsia" w:ascii="仿宋_GB2312" w:hAnsi="宋体" w:eastAsia="仿宋_GB2312" w:cs="宋体"/>
          <w:kern w:val="0"/>
          <w:sz w:val="32"/>
          <w:szCs w:val="32"/>
          <w:lang w:val="en-US" w:eastAsia="zh-CN"/>
        </w:rPr>
        <w:t>1人</w:t>
      </w:r>
      <w:r>
        <w:rPr>
          <w:rFonts w:hint="eastAsia" w:ascii="仿宋_GB2312" w:hAnsi="宋体" w:eastAsia="仿宋_GB2312" w:cs="宋体"/>
          <w:kern w:val="0"/>
          <w:sz w:val="32"/>
          <w:szCs w:val="32"/>
          <w:lang w:eastAsia="zh-CN"/>
        </w:rPr>
        <w:t>减少了抚恤金的支出预算和综合治理奖励金、绩效考核奖等无法预定的支出预算减少</w:t>
      </w:r>
      <w:r>
        <w:rPr>
          <w:rFonts w:hint="eastAsia" w:ascii="仿宋_GB2312" w:hAnsi="宋体" w:eastAsia="仿宋_GB2312" w:cs="宋体"/>
          <w:kern w:val="0"/>
          <w:sz w:val="32"/>
          <w:szCs w:val="32"/>
          <w:lang w:val="en-US" w:eastAsia="zh-CN"/>
        </w:rPr>
        <w:t>78.15万元；</w:t>
      </w:r>
      <w:r>
        <w:rPr>
          <w:rFonts w:hint="eastAsia" w:ascii="仿宋_GB2312" w:eastAsia="仿宋_GB2312"/>
          <w:sz w:val="32"/>
          <w:szCs w:val="32"/>
          <w:lang w:eastAsia="zh-CN"/>
        </w:rPr>
        <w:t>项目支出</w:t>
      </w:r>
      <w:r>
        <w:rPr>
          <w:rFonts w:hint="eastAsia" w:ascii="仿宋_GB2312" w:hAnsi="宋体" w:eastAsia="仿宋_GB2312" w:cs="宋体"/>
          <w:kern w:val="0"/>
          <w:sz w:val="32"/>
          <w:szCs w:val="32"/>
          <w:lang w:val="en-US" w:eastAsia="zh-CN"/>
        </w:rPr>
        <w:t>本年度群众工作由上年度与其他单位共同执行改为本单位独立完成，因此增加了联建工作经费、群众工作人员补助经费20.78万元。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仿宋_GB2312" w:eastAsia="仿宋_GB2312" w:cs="仿宋_GB2312"/>
          <w:color w:val="auto"/>
          <w:kern w:val="0"/>
          <w:sz w:val="32"/>
          <w:szCs w:val="32"/>
          <w:shd w:val="clear" w:color="auto" w:fill="FFFFFF"/>
          <w:lang w:val="en-US" w:eastAsia="zh-CN"/>
        </w:rPr>
        <w:t>2019</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377.98</w:t>
      </w:r>
      <w:r>
        <w:rPr>
          <w:rFonts w:hint="eastAsia" w:ascii="仿宋_GB2312" w:hAnsi="宋体" w:eastAsia="仿宋_GB2312" w:cs="宋体"/>
          <w:kern w:val="0"/>
          <w:sz w:val="32"/>
          <w:szCs w:val="32"/>
        </w:rPr>
        <w:t>万元， 其中：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364.28</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107.07万元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143.69万元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8.92万元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43.59万元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23.83万元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26.39万元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8.87万元。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0.44万元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1.48万元</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13.69</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0.82万元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0.08万元</w:t>
      </w:r>
      <w:r>
        <w:rPr>
          <w:rFonts w:hint="eastAsia" w:ascii="仿宋_GB2312" w:hAnsi="宋体" w:eastAsia="仿宋_GB2312" w:cs="宋体"/>
          <w:kern w:val="0"/>
          <w:sz w:val="32"/>
          <w:szCs w:val="32"/>
        </w:rPr>
        <w:t>、水费</w:t>
      </w:r>
      <w:r>
        <w:rPr>
          <w:rFonts w:hint="eastAsia" w:ascii="仿宋_GB2312" w:hAnsi="宋体" w:eastAsia="仿宋_GB2312" w:cs="宋体"/>
          <w:kern w:val="0"/>
          <w:sz w:val="32"/>
          <w:szCs w:val="32"/>
          <w:lang w:val="en-US" w:eastAsia="zh-CN"/>
        </w:rPr>
        <w:t>0.30万元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0.40万元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2.34万元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0.20万元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0.20万元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1.55万元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2.80万元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2.10万元</w:t>
      </w:r>
      <w:r>
        <w:rPr>
          <w:rFonts w:hint="eastAsia" w:ascii="仿宋_GB2312" w:hAnsi="宋体" w:eastAsia="仿宋_GB2312" w:cs="宋体"/>
          <w:kern w:val="0"/>
          <w:sz w:val="32"/>
          <w:szCs w:val="32"/>
        </w:rPr>
        <w:t>、办公</w:t>
      </w:r>
      <w:r>
        <w:rPr>
          <w:rFonts w:hint="eastAsia" w:ascii="仿宋_GB2312" w:hAnsi="宋体" w:eastAsia="仿宋_GB2312" w:cs="宋体"/>
          <w:kern w:val="0"/>
          <w:sz w:val="32"/>
          <w:szCs w:val="32"/>
          <w:lang w:eastAsia="zh-CN"/>
        </w:rPr>
        <w:t>用品及设备采购</w:t>
      </w:r>
      <w:r>
        <w:rPr>
          <w:rFonts w:hint="eastAsia" w:ascii="仿宋_GB2312" w:hAnsi="宋体" w:eastAsia="仿宋_GB2312" w:cs="宋体"/>
          <w:kern w:val="0"/>
          <w:sz w:val="32"/>
          <w:szCs w:val="32"/>
          <w:lang w:val="en-US" w:eastAsia="zh-CN"/>
        </w:rPr>
        <w:t>1.80万元。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黑体" w:hAnsi="宋体" w:eastAsia="黑体" w:cs="宋体"/>
          <w:kern w:val="0"/>
          <w:sz w:val="32"/>
          <w:szCs w:val="32"/>
          <w:highlight w:val="none"/>
        </w:rPr>
      </w:pPr>
      <w:r>
        <w:rPr>
          <w:rFonts w:hint="eastAsia" w:ascii="黑体" w:hAnsi="宋体" w:eastAsia="黑体" w:cs="宋体"/>
          <w:kern w:val="0"/>
          <w:sz w:val="32"/>
          <w:szCs w:val="32"/>
          <w:highlight w:val="none"/>
        </w:rPr>
        <w:t>七、关于</w:t>
      </w:r>
      <w:r>
        <w:rPr>
          <w:rFonts w:hint="eastAsia" w:ascii="黑体" w:hAnsi="宋体" w:eastAsia="黑体" w:cs="宋体"/>
          <w:kern w:val="0"/>
          <w:sz w:val="32"/>
          <w:szCs w:val="32"/>
          <w:highlight w:val="none"/>
          <w:lang w:eastAsia="zh-CN"/>
        </w:rPr>
        <w:t>克孜勒苏柯尔克孜自治州</w:t>
      </w:r>
      <w:r>
        <w:rPr>
          <w:rFonts w:hint="eastAsia" w:ascii="黑体" w:hAnsi="宋体" w:eastAsia="黑体" w:cs="宋体"/>
          <w:kern w:val="0"/>
          <w:sz w:val="32"/>
          <w:szCs w:val="32"/>
          <w:highlight w:val="none"/>
        </w:rPr>
        <w:t>草原监理所201</w:t>
      </w:r>
      <w:r>
        <w:rPr>
          <w:rFonts w:hint="eastAsia" w:ascii="黑体" w:hAnsi="宋体" w:eastAsia="黑体" w:cs="宋体"/>
          <w:kern w:val="0"/>
          <w:sz w:val="32"/>
          <w:szCs w:val="32"/>
          <w:highlight w:val="none"/>
          <w:lang w:val="en-US" w:eastAsia="zh-CN"/>
        </w:rPr>
        <w:t>9</w:t>
      </w:r>
      <w:r>
        <w:rPr>
          <w:rFonts w:hint="eastAsia" w:ascii="黑体" w:hAnsi="宋体" w:eastAsia="黑体" w:cs="宋体"/>
          <w:kern w:val="0"/>
          <w:sz w:val="32"/>
          <w:szCs w:val="32"/>
          <w:highlight w:val="none"/>
        </w:rPr>
        <w:t>年项目支出情况说明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rPr>
          <w:rFonts w:ascii="仿宋_GB2312" w:hAnsi="黑体" w:eastAsia="仿宋_GB2312"/>
          <w:b/>
          <w:sz w:val="32"/>
          <w:szCs w:val="32"/>
          <w:highlight w:val="none"/>
        </w:rPr>
      </w:pPr>
      <w:r>
        <w:rPr>
          <w:rFonts w:hint="eastAsia" w:ascii="仿宋_GB2312" w:hAnsi="黑体" w:eastAsia="仿宋_GB2312"/>
          <w:b/>
          <w:sz w:val="32"/>
          <w:szCs w:val="32"/>
          <w:highlight w:val="none"/>
        </w:rPr>
        <w:t>情况一：专项业务费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highlight w:val="none"/>
          <w:lang w:eastAsia="zh-CN"/>
        </w:rPr>
      </w:pPr>
      <w:r>
        <w:rPr>
          <w:rFonts w:hint="eastAsia" w:ascii="仿宋_GB2312" w:hAnsi="黑体" w:eastAsia="仿宋_GB2312"/>
          <w:sz w:val="32"/>
          <w:szCs w:val="32"/>
          <w:highlight w:val="none"/>
        </w:rPr>
        <w:t>项目</w:t>
      </w:r>
      <w:r>
        <w:rPr>
          <w:rFonts w:ascii="仿宋_GB2312" w:hAnsi="黑体" w:eastAsia="仿宋_GB2312"/>
          <w:sz w:val="32"/>
          <w:szCs w:val="32"/>
          <w:highlight w:val="none"/>
        </w:rPr>
        <w:t>名称</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lang w:eastAsia="zh-CN"/>
        </w:rPr>
        <w:t>联建工作经费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rPr>
      </w:pPr>
      <w:r>
        <w:rPr>
          <w:rFonts w:ascii="仿宋_GB2312" w:hAnsi="黑体" w:eastAsia="仿宋_GB2312"/>
          <w:sz w:val="32"/>
          <w:szCs w:val="32"/>
          <w:highlight w:val="none"/>
        </w:rPr>
        <w:t>设立的政策依据</w:t>
      </w:r>
      <w:r>
        <w:rPr>
          <w:rFonts w:hint="eastAsia" w:ascii="仿宋_GB2312" w:hAnsi="黑体" w:eastAsia="仿宋_GB2312"/>
          <w:sz w:val="32"/>
          <w:szCs w:val="32"/>
          <w:highlight w:val="none"/>
        </w:rPr>
        <w:t>：</w:t>
      </w:r>
      <w:r>
        <w:rPr>
          <w:rFonts w:hint="eastAsia" w:ascii="仿宋_GB2312" w:hAnsi="宋体" w:eastAsia="仿宋_GB2312" w:cs="宋体"/>
          <w:kern w:val="0"/>
          <w:sz w:val="32"/>
          <w:szCs w:val="32"/>
          <w:highlight w:val="none"/>
        </w:rPr>
        <w:t>根据州财政</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黑体" w:eastAsia="仿宋_GB2312"/>
          <w:sz w:val="32"/>
          <w:szCs w:val="32"/>
          <w:lang w:eastAsia="zh-CN"/>
        </w:rPr>
        <w:t>小村</w:t>
      </w:r>
      <w:r>
        <w:rPr>
          <w:rFonts w:hint="eastAsia" w:ascii="仿宋_GB2312" w:hAnsi="黑体" w:eastAsia="仿宋_GB2312"/>
          <w:sz w:val="32"/>
          <w:szCs w:val="32"/>
          <w:lang w:val="en-US" w:eastAsia="zh-CN"/>
        </w:rPr>
        <w:t>5万元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p>
    <w:p>
      <w:pPr>
        <w:widowControl/>
        <w:spacing w:line="540" w:lineRule="exact"/>
        <w:ind w:firstLine="640" w:firstLineChars="200"/>
        <w:jc w:val="left"/>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仿宋_GB2312" w:eastAsia="仿宋_GB2312" w:cs="仿宋_GB2312"/>
          <w:sz w:val="32"/>
          <w:szCs w:val="32"/>
          <w:lang w:val="en-US" w:eastAsia="zh-CN"/>
        </w:rPr>
        <w:t>办公费1.00万元，印刷费0.30万元，邮电费0.05万元，劳务费1.35万元，公务车运行维护费1.80万元，办公用品及设备采购0.50万元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年1月1日—12月31日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2"/>
        <w:textAlignment w:val="auto"/>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pacing w:val="-8"/>
          <w:sz w:val="32"/>
          <w:szCs w:val="22"/>
        </w:rPr>
        <w:t>对个人补贴的项目支出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：群众工作人员补助</w:t>
      </w:r>
      <w:r>
        <w:rPr>
          <w:rFonts w:hint="eastAsia" w:ascii="仿宋_GB2312" w:hAnsi="黑体" w:eastAsia="仿宋_GB2312"/>
          <w:sz w:val="32"/>
          <w:szCs w:val="32"/>
          <w:lang w:eastAsia="zh-CN"/>
        </w:rPr>
        <w:t>经费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highlight w:val="none"/>
        </w:rPr>
        <w:t>根据州财政</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年预算编制内容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20.32万元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仿宋_GB2312" w:eastAsia="仿宋_GB2312" w:cs="仿宋_GB2312"/>
          <w:color w:val="auto"/>
          <w:kern w:val="0"/>
          <w:sz w:val="32"/>
          <w:szCs w:val="32"/>
          <w:shd w:val="clear" w:color="auto" w:fill="FFFFFF"/>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黑体" w:eastAsia="仿宋_GB2312"/>
          <w:sz w:val="32"/>
          <w:szCs w:val="32"/>
          <w:lang w:eastAsia="zh-CN"/>
        </w:rPr>
        <w:t>其他对个人和家庭的补助</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年1月1日—12月31日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sz w:val="32"/>
        </w:rPr>
        <w:t>财政全额拨款</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sz w:val="32"/>
          <w:szCs w:val="2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9人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黑体" w:eastAsia="仿宋_GB2312"/>
          <w:sz w:val="32"/>
          <w:szCs w:val="32"/>
          <w:lang w:eastAsia="zh-CN"/>
        </w:rPr>
        <w:t>群众工作人员</w:t>
      </w:r>
      <w:r>
        <w:rPr>
          <w:rFonts w:hint="eastAsia" w:ascii="仿宋_GB2312" w:hAnsi="黑体" w:eastAsia="仿宋_GB2312"/>
          <w:sz w:val="32"/>
          <w:szCs w:val="32"/>
          <w:lang w:val="en-US" w:eastAsia="zh-CN"/>
        </w:rPr>
        <w:t>7人</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0.18万元</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12个月=15.12万元，教育工作人员2人</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0.26万元</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10个月=5.20万元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黑体" w:eastAsia="仿宋_GB2312"/>
          <w:sz w:val="32"/>
          <w:szCs w:val="32"/>
          <w:lang w:val="en-US"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黑体" w:eastAsia="仿宋_GB2312"/>
          <w:sz w:val="32"/>
          <w:szCs w:val="32"/>
          <w:lang w:eastAsia="zh-CN"/>
        </w:rPr>
        <w:t>群众工作人员</w:t>
      </w:r>
      <w:r>
        <w:rPr>
          <w:rFonts w:hint="eastAsia" w:ascii="仿宋_GB2312" w:hAnsi="黑体" w:eastAsia="仿宋_GB2312"/>
          <w:sz w:val="32"/>
          <w:szCs w:val="32"/>
          <w:lang w:val="en-US" w:eastAsia="zh-CN"/>
        </w:rPr>
        <w:t>7人，教育工作人员2人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现金</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发放程序：根据考勤表经主要领导审核签字后，由单位财务人员造表，财务负责人签字后，</w:t>
      </w:r>
      <w:r>
        <w:rPr>
          <w:rFonts w:hint="eastAsia" w:ascii="仿宋_GB2312" w:hAnsi="宋体" w:eastAsia="仿宋_GB2312" w:cs="宋体"/>
          <w:kern w:val="0"/>
          <w:sz w:val="32"/>
          <w:szCs w:val="32"/>
          <w:lang w:eastAsia="zh-CN"/>
        </w:rPr>
        <w:t>发放至个人。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受益人群和社会效益：</w:t>
      </w:r>
      <w:r>
        <w:rPr>
          <w:rFonts w:hint="eastAsia" w:ascii="仿宋_GB2312" w:hAnsi="宋体" w:eastAsia="仿宋_GB2312" w:cs="宋体"/>
          <w:color w:val="auto"/>
          <w:kern w:val="0"/>
          <w:sz w:val="32"/>
          <w:szCs w:val="32"/>
          <w:highlight w:val="none"/>
        </w:rPr>
        <w:t>主要是发放开展群众工作人员的生活补助，用于开展群众工作，维护社会的长治久安。</w:t>
      </w:r>
    </w:p>
    <w:p>
      <w:pPr>
        <w:keepNext w:val="0"/>
        <w:keepLines w:val="0"/>
        <w:pageBreakBefore w:val="0"/>
        <w:widowControl/>
        <w:numPr>
          <w:ilvl w:val="0"/>
          <w:numId w:val="1"/>
        </w:numPr>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仿宋_GB2312" w:hAnsi="宋体" w:eastAsia="仿宋_GB2312" w:cs="宋体"/>
          <w:kern w:val="0"/>
          <w:sz w:val="32"/>
          <w:szCs w:val="32"/>
        </w:rPr>
      </w:pP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年一般公共预算“三公”经费预算情况说明</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ascii="仿宋_GB2312" w:hAnsi="宋体" w:eastAsia="仿宋_GB2312" w:cs="宋体"/>
          <w:kern w:val="0"/>
          <w:sz w:val="32"/>
          <w:szCs w:val="32"/>
        </w:rPr>
      </w:pP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草原监理所201</w:t>
      </w:r>
      <w:r>
        <w:rPr>
          <w:rFonts w:hint="eastAsia" w:ascii="仿宋_GB2312" w:hAnsi="仿宋_GB2312" w:eastAsia="仿宋_GB2312" w:cs="仿宋_GB2312"/>
          <w:color w:val="auto"/>
          <w:kern w:val="0"/>
          <w:sz w:val="32"/>
          <w:szCs w:val="32"/>
          <w:shd w:val="clear" w:color="auto" w:fill="FFFFFF"/>
          <w:lang w:val="en-US" w:eastAsia="zh-CN"/>
        </w:rPr>
        <w:t>9</w:t>
      </w:r>
      <w:r>
        <w:rPr>
          <w:rFonts w:hint="eastAsia" w:ascii="仿宋_GB2312" w:hAnsi="仿宋_GB2312" w:eastAsia="仿宋_GB2312" w:cs="仿宋_GB2312"/>
          <w:color w:val="auto"/>
          <w:kern w:val="0"/>
          <w:sz w:val="32"/>
          <w:szCs w:val="32"/>
          <w:shd w:val="clear" w:color="auto" w:fill="FFFFFF"/>
        </w:rPr>
        <w:t>年</w:t>
      </w:r>
      <w:r>
        <w:rPr>
          <w:rFonts w:hint="eastAsia" w:ascii="仿宋_GB2312" w:hAnsi="宋体" w:eastAsia="仿宋_GB2312" w:cs="宋体"/>
          <w:kern w:val="0"/>
          <w:sz w:val="32"/>
          <w:szCs w:val="32"/>
        </w:rPr>
        <w:t>“三公”经费财政拨款预算数为</w:t>
      </w:r>
      <w:r>
        <w:rPr>
          <w:rFonts w:hint="eastAsia" w:ascii="仿宋_GB2312" w:hAnsi="宋体" w:eastAsia="仿宋_GB2312" w:cs="宋体"/>
          <w:kern w:val="0"/>
          <w:sz w:val="32"/>
          <w:szCs w:val="32"/>
          <w:lang w:val="en-US" w:eastAsia="zh-CN"/>
        </w:rPr>
        <w:t>3.90</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3.90</w:t>
      </w:r>
      <w:r>
        <w:rPr>
          <w:rFonts w:hint="eastAsia" w:ascii="仿宋_GB2312" w:hAnsi="宋体" w:eastAsia="仿宋_GB2312" w:cs="宋体"/>
          <w:kern w:val="0"/>
          <w:sz w:val="32"/>
          <w:szCs w:val="32"/>
        </w:rPr>
        <w:t xml:space="preserve">  万元，公务接待费</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年“三公”经费财政拨款预算比上年增加</w:t>
      </w:r>
      <w:r>
        <w:rPr>
          <w:rFonts w:hint="eastAsia" w:ascii="仿宋_GB2312" w:hAnsi="宋体" w:eastAsia="仿宋_GB2312" w:cs="宋体"/>
          <w:kern w:val="0"/>
          <w:sz w:val="32"/>
          <w:szCs w:val="32"/>
          <w:lang w:val="en-US" w:eastAsia="zh-CN"/>
        </w:rPr>
        <w:t>2.70</w:t>
      </w:r>
      <w:r>
        <w:rPr>
          <w:rFonts w:hint="eastAsia" w:ascii="仿宋_GB2312" w:hAnsi="宋体" w:eastAsia="仿宋_GB2312" w:cs="宋体"/>
          <w:kern w:val="0"/>
          <w:sz w:val="32"/>
          <w:szCs w:val="32"/>
        </w:rPr>
        <w:t>万元，其中：因公出国（境）费增加（减少）</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万元，主要原因是未安排预算；公务用车购置费为</w:t>
      </w:r>
      <w:r>
        <w:rPr>
          <w:rFonts w:hint="eastAsia" w:ascii="仿宋_GB2312" w:hAnsi="宋体" w:eastAsia="仿宋_GB2312" w:cs="宋体"/>
          <w:kern w:val="0"/>
          <w:sz w:val="32"/>
          <w:szCs w:val="32"/>
          <w:lang w:val="en-US" w:eastAsia="zh-CN"/>
        </w:rPr>
        <w:t>0.00万元</w:t>
      </w:r>
      <w:r>
        <w:rPr>
          <w:rFonts w:hint="eastAsia" w:ascii="仿宋_GB2312" w:hAnsi="宋体" w:eastAsia="仿宋_GB2312" w:cs="宋体"/>
          <w:kern w:val="0"/>
          <w:sz w:val="32"/>
          <w:szCs w:val="32"/>
        </w:rPr>
        <w:t>，未安排预算；公务用车运行费增加</w:t>
      </w:r>
      <w:r>
        <w:rPr>
          <w:rFonts w:hint="eastAsia" w:ascii="仿宋_GB2312" w:hAnsi="宋体" w:eastAsia="仿宋_GB2312" w:cs="宋体"/>
          <w:kern w:val="0"/>
          <w:sz w:val="32"/>
          <w:szCs w:val="32"/>
          <w:lang w:val="en-US" w:eastAsia="zh-CN"/>
        </w:rPr>
        <w:t>2.70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新增联建工作经费根据工作需要安排</w:t>
      </w:r>
      <w:r>
        <w:rPr>
          <w:rFonts w:hint="eastAsia" w:ascii="仿宋_GB2312" w:hAnsi="宋体" w:eastAsia="仿宋_GB2312" w:cs="宋体"/>
          <w:kern w:val="0"/>
          <w:sz w:val="32"/>
          <w:szCs w:val="32"/>
          <w:lang w:val="en-US" w:eastAsia="zh-CN"/>
        </w:rPr>
        <w:t>1.80万元，根据上年度工作开展实际情况和车况拟定日常公用经费中增加0.90万元</w:t>
      </w:r>
      <w:r>
        <w:rPr>
          <w:rFonts w:hint="eastAsia" w:ascii="仿宋_GB2312" w:hAnsi="宋体" w:eastAsia="仿宋_GB2312" w:cs="宋体"/>
          <w:kern w:val="0"/>
          <w:sz w:val="32"/>
          <w:szCs w:val="32"/>
        </w:rPr>
        <w:t>；公务接待费增加（减少）</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万元，主要原因是未安排预算。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w:t>
      </w:r>
      <w:r>
        <w:rPr>
          <w:rFonts w:hint="eastAsia" w:ascii="黑体" w:hAnsi="宋体" w:eastAsia="黑体" w:cs="宋体"/>
          <w:kern w:val="0"/>
          <w:sz w:val="32"/>
          <w:szCs w:val="32"/>
        </w:rPr>
        <w:t>草原监理所201</w:t>
      </w:r>
      <w:r>
        <w:rPr>
          <w:rFonts w:hint="eastAsia" w:ascii="黑体" w:hAnsi="宋体" w:eastAsia="黑体" w:cs="宋体"/>
          <w:kern w:val="0"/>
          <w:sz w:val="32"/>
          <w:szCs w:val="32"/>
          <w:lang w:val="en-US" w:eastAsia="zh-CN"/>
        </w:rPr>
        <w:t>9</w:t>
      </w:r>
      <w:r>
        <w:rPr>
          <w:rFonts w:hint="eastAsia" w:ascii="黑体" w:hAnsi="宋体" w:eastAsia="黑体" w:cs="宋体"/>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草原监理所201</w:t>
      </w:r>
      <w:r>
        <w:rPr>
          <w:rFonts w:hint="eastAsia" w:ascii="仿宋_GB2312" w:hAnsi="仿宋_GB2312" w:eastAsia="仿宋_GB2312" w:cs="仿宋_GB2312"/>
          <w:color w:val="auto"/>
          <w:kern w:val="0"/>
          <w:sz w:val="32"/>
          <w:szCs w:val="32"/>
          <w:shd w:val="clear" w:color="auto" w:fill="FFFFFF"/>
          <w:lang w:val="en-US" w:eastAsia="zh-CN"/>
        </w:rPr>
        <w:t>9</w:t>
      </w:r>
      <w:r>
        <w:rPr>
          <w:rFonts w:hint="eastAsia" w:ascii="仿宋_GB2312" w:hAnsi="仿宋_GB2312" w:eastAsia="仿宋_GB2312" w:cs="仿宋_GB2312"/>
          <w:color w:val="auto"/>
          <w:kern w:val="0"/>
          <w:sz w:val="32"/>
          <w:szCs w:val="32"/>
          <w:shd w:val="clear" w:color="auto" w:fill="FFFFFF"/>
        </w:rPr>
        <w:t>年</w:t>
      </w:r>
      <w:r>
        <w:rPr>
          <w:rFonts w:hint="eastAsia" w:ascii="仿宋_GB2312" w:hAnsi="宋体" w:eastAsia="仿宋_GB2312" w:cs="宋体"/>
          <w:kern w:val="0"/>
          <w:sz w:val="32"/>
          <w:szCs w:val="32"/>
        </w:rPr>
        <w:t>没有使用政府性基金预算拨款安排的支出，政府性基金预算支出情况表为空表。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宋体" w:eastAsia="仿宋_GB2312" w:cs="宋体"/>
          <w:kern w:val="0"/>
          <w:sz w:val="32"/>
          <w:szCs w:val="32"/>
        </w:rPr>
        <w:t>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家参公管理事业单位和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w:t>
      </w:r>
      <w:r>
        <w:rPr>
          <w:rFonts w:hint="eastAsia" w:ascii="仿宋_GB2312" w:hAnsi="仿宋_GB2312" w:eastAsia="仿宋_GB2312" w:cs="仿宋_GB2312"/>
          <w:color w:val="auto"/>
          <w:kern w:val="0"/>
          <w:sz w:val="32"/>
          <w:szCs w:val="32"/>
          <w:shd w:val="clear" w:color="auto" w:fill="FFFFFF"/>
          <w:lang w:eastAsia="zh-CN"/>
        </w:rPr>
        <w:t>行经费财政拨款预算</w:t>
      </w:r>
      <w:r>
        <w:rPr>
          <w:rFonts w:hint="eastAsia" w:ascii="仿宋_GB2312" w:hAnsi="仿宋_GB2312" w:eastAsia="仿宋_GB2312" w:cs="仿宋_GB2312"/>
          <w:color w:val="auto"/>
          <w:kern w:val="0"/>
          <w:sz w:val="32"/>
          <w:szCs w:val="32"/>
          <w:shd w:val="clear" w:color="auto" w:fill="FFFFFF"/>
          <w:lang w:val="en-US" w:eastAsia="zh-CN"/>
        </w:rPr>
        <w:t>13.69</w:t>
      </w:r>
      <w:r>
        <w:rPr>
          <w:rFonts w:hint="eastAsia" w:ascii="仿宋_GB2312" w:hAnsi="仿宋_GB2312" w:eastAsia="仿宋_GB2312" w:cs="仿宋_GB2312"/>
          <w:color w:val="auto"/>
          <w:kern w:val="0"/>
          <w:sz w:val="32"/>
          <w:szCs w:val="32"/>
          <w:shd w:val="clear" w:color="auto" w:fill="FFFFFF"/>
          <w:lang w:eastAsia="zh-CN"/>
        </w:rPr>
        <w:t>万元，比上年预算增加</w:t>
      </w:r>
      <w:r>
        <w:rPr>
          <w:rFonts w:hint="eastAsia" w:ascii="仿宋_GB2312" w:hAnsi="仿宋_GB2312" w:eastAsia="仿宋_GB2312" w:cs="仿宋_GB2312"/>
          <w:color w:val="auto"/>
          <w:kern w:val="0"/>
          <w:sz w:val="32"/>
          <w:szCs w:val="32"/>
          <w:shd w:val="clear" w:color="auto" w:fill="FFFFFF"/>
          <w:lang w:val="en-US" w:eastAsia="zh-CN"/>
        </w:rPr>
        <w:t>0.45</w:t>
      </w:r>
      <w:r>
        <w:rPr>
          <w:rFonts w:hint="eastAsia" w:ascii="仿宋_GB2312" w:hAnsi="仿宋_GB2312" w:eastAsia="仿宋_GB2312" w:cs="仿宋_GB2312"/>
          <w:color w:val="auto"/>
          <w:kern w:val="0"/>
          <w:sz w:val="32"/>
          <w:szCs w:val="32"/>
          <w:shd w:val="clear" w:color="auto" w:fill="FFFFFF"/>
          <w:lang w:eastAsia="zh-CN"/>
        </w:rPr>
        <w:t xml:space="preserve">    万元，增长</w:t>
      </w:r>
      <w:r>
        <w:rPr>
          <w:rFonts w:hint="eastAsia" w:ascii="仿宋_GB2312" w:hAnsi="仿宋_GB2312" w:eastAsia="仿宋_GB2312" w:cs="仿宋_GB2312"/>
          <w:color w:val="auto"/>
          <w:kern w:val="0"/>
          <w:sz w:val="32"/>
          <w:szCs w:val="32"/>
          <w:shd w:val="clear" w:color="auto" w:fill="FFFFFF"/>
          <w:lang w:val="en-US" w:eastAsia="zh-CN"/>
        </w:rPr>
        <w:t>3.40</w:t>
      </w:r>
      <w:r>
        <w:rPr>
          <w:rFonts w:hint="eastAsia" w:ascii="仿宋_GB2312" w:hAnsi="仿宋_GB2312" w:eastAsia="仿宋_GB2312" w:cs="仿宋_GB2312"/>
          <w:color w:val="auto"/>
          <w:kern w:val="0"/>
          <w:sz w:val="32"/>
          <w:szCs w:val="32"/>
          <w:shd w:val="clear" w:color="auto" w:fill="FFFFFF"/>
          <w:lang w:eastAsia="zh-CN"/>
        </w:rPr>
        <w:t>%。主要原因是在职人员正常调资和基本工资</w:t>
      </w:r>
      <w:r>
        <w:rPr>
          <w:rFonts w:hint="eastAsia" w:ascii="仿宋_GB2312" w:hAnsi="仿宋_GB2312" w:eastAsia="仿宋_GB2312" w:cs="仿宋_GB2312"/>
          <w:color w:val="auto"/>
          <w:kern w:val="0"/>
          <w:sz w:val="32"/>
          <w:szCs w:val="32"/>
          <w:shd w:val="clear" w:color="auto" w:fill="FFFFFF"/>
          <w:lang w:val="en-US" w:eastAsia="zh-CN"/>
        </w:rPr>
        <w:t>增资相应增加公用经费中福利费、工会经费0.45万元</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下属单位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14.40</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4.60</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0.00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9.80</w:t>
      </w:r>
      <w:r>
        <w:rPr>
          <w:rFonts w:hint="eastAsia" w:ascii="仿宋_GB2312" w:hAnsi="宋体" w:eastAsia="仿宋_GB2312" w:cs="宋体"/>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仿宋_GB2312" w:eastAsia="仿宋_GB2312"/>
          <w:sz w:val="32"/>
          <w:lang w:val="en-US" w:eastAsia="zh-CN"/>
        </w:rPr>
        <w:t>2019</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0.00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0.00</w:t>
      </w:r>
      <w:r>
        <w:rPr>
          <w:rFonts w:hint="eastAsia" w:ascii="仿宋_GB2312" w:hAnsi="仿宋_GB2312" w:eastAsia="仿宋_GB2312"/>
          <w:sz w:val="32"/>
        </w:rPr>
        <w:t>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2018</w:t>
      </w:r>
      <w:r>
        <w:rPr>
          <w:rFonts w:hint="eastAsia" w:ascii="仿宋_GB2312" w:hAnsi="宋体" w:eastAsia="仿宋_GB2312" w:cs="宋体"/>
          <w:kern w:val="0"/>
          <w:sz w:val="32"/>
          <w:szCs w:val="32"/>
        </w:rPr>
        <w:t>年底，</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下属单位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占用使用国有资产总体情况为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1.房屋：办公用房1809.52平方米，价值160.64万元；消防车车房44平方米，价值0.88万元。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2.车辆5辆，价值75.63万元；其中：一般公务用车1辆，价值8.77万元；执法执勤用车3辆，价值48.56万元；其他车辆1辆，价值18.30万元。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3.办公家具价值3.50万元。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4.其他资产价值59.49万元。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单位价值50万元以上大型设备0台（套），单位价值100万元以上大型设备0台（套）。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2018年部门预算未安排购置车辆经费，安排购置50万元以上大型设备0台（套），单位价值100万元以上大型设备0台（套）。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2"/>
        <w:jc w:val="left"/>
        <w:textAlignment w:val="auto"/>
        <w:outlineLvl w:val="9"/>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25.32</w:t>
      </w:r>
      <w:r>
        <w:rPr>
          <w:rFonts w:hint="eastAsia" w:ascii="仿宋_GB2312" w:hAnsi="宋体" w:eastAsia="仿宋_GB2312" w:cs="宋体"/>
          <w:kern w:val="0"/>
          <w:sz w:val="32"/>
          <w:szCs w:val="32"/>
        </w:rPr>
        <w:t>万元。具体情况见下表（按项目分别填报）：</w:t>
      </w: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rPr>
          <w:rFonts w:ascii="仿宋_GB2312" w:hAnsi="宋体" w:eastAsia="仿宋_GB2312" w:cs="宋体"/>
          <w:kern w:val="0"/>
          <w:sz w:val="32"/>
          <w:szCs w:val="32"/>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bookmarkStart w:id="0" w:name="_GoBack"/>
      <w:bookmarkEnd w:id="0"/>
      <w:r>
        <w:rPr>
          <w:rFonts w:hint="eastAsia" w:ascii="仿宋_GB2312" w:hAnsi="宋体" w:eastAsia="仿宋_GB2312" w:cs="宋体"/>
          <w:b/>
          <w:bCs/>
          <w:kern w:val="0"/>
          <w:sz w:val="32"/>
          <w:szCs w:val="32"/>
          <w:lang w:val="en-US" w:eastAsia="zh-CN"/>
        </w:rPr>
        <w:t>项 目 支 出 绩 效 目 标 表 一</w:t>
      </w:r>
    </w:p>
    <w:p>
      <w:pPr>
        <w:spacing w:line="500" w:lineRule="exact"/>
        <w:ind w:firstLine="2249" w:firstLineChars="700"/>
        <w:jc w:val="both"/>
        <w:rPr>
          <w:rFonts w:hint="eastAsia" w:ascii="仿宋_GB2312" w:hAnsi="宋体" w:eastAsia="仿宋_GB2312" w:cs="宋体"/>
          <w:b/>
          <w:bCs/>
          <w:kern w:val="0"/>
          <w:sz w:val="32"/>
          <w:szCs w:val="32"/>
          <w:lang w:val="en-US" w:eastAsia="zh-CN"/>
        </w:rPr>
      </w:pPr>
    </w:p>
    <w:tbl>
      <w:tblPr>
        <w:tblStyle w:val="10"/>
        <w:tblW w:w="7867" w:type="dxa"/>
        <w:tblInd w:w="93" w:type="dxa"/>
        <w:tblLayout w:type="fixed"/>
        <w:tblCellMar>
          <w:top w:w="0" w:type="dxa"/>
          <w:left w:w="108" w:type="dxa"/>
          <w:bottom w:w="0" w:type="dxa"/>
          <w:right w:w="108" w:type="dxa"/>
        </w:tblCellMar>
      </w:tblPr>
      <w:tblGrid>
        <w:gridCol w:w="1342"/>
        <w:gridCol w:w="1365"/>
        <w:gridCol w:w="1246"/>
        <w:gridCol w:w="1020"/>
        <w:gridCol w:w="134"/>
        <w:gridCol w:w="879"/>
        <w:gridCol w:w="1003"/>
        <w:gridCol w:w="878"/>
      </w:tblGrid>
      <w:tr>
        <w:tblPrEx>
          <w:tblLayout w:type="fixed"/>
          <w:tblCellMar>
            <w:top w:w="0" w:type="dxa"/>
            <w:left w:w="108" w:type="dxa"/>
            <w:bottom w:w="0" w:type="dxa"/>
            <w:right w:w="108" w:type="dxa"/>
          </w:tblCellMar>
        </w:tblPrEx>
        <w:trPr>
          <w:trHeight w:val="578" w:hRule="atLeast"/>
        </w:trPr>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63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克孜勒苏柯尔克孜自治州草原监理所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18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联建工作经费</w:t>
            </w:r>
          </w:p>
        </w:tc>
      </w:tr>
      <w:tr>
        <w:tblPrEx>
          <w:tblLayout w:type="fixed"/>
          <w:tblCellMar>
            <w:top w:w="0" w:type="dxa"/>
            <w:left w:w="108" w:type="dxa"/>
            <w:bottom w:w="0" w:type="dxa"/>
            <w:right w:w="108" w:type="dxa"/>
          </w:tblCellMar>
        </w:tblPrEx>
        <w:trPr>
          <w:trHeight w:val="1138" w:hRule="atLeast"/>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3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年度资金总额：</w:t>
            </w:r>
          </w:p>
        </w:tc>
        <w:tc>
          <w:tcPr>
            <w:tcW w:w="12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5.00</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5.00</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8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34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525"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摸清联建村的底数，对家庭做到一户一表，建立档案台账，做好扶贫帮教工作，全面开展入户走访，大力宣讲十九大精神、《宪法》、法律法规、惠民政策、大病救助等内容，协助村委会、驻村队做好脱贫攻坚工作。扎实开展民族团结“结亲周”和干部入户入住“两个全覆盖”工作，确保群众思想状况稳定。</w:t>
            </w:r>
          </w:p>
        </w:tc>
      </w:tr>
      <w:tr>
        <w:tblPrEx>
          <w:tblLayout w:type="fixed"/>
          <w:tblCellMar>
            <w:top w:w="0" w:type="dxa"/>
            <w:left w:w="108" w:type="dxa"/>
            <w:bottom w:w="0" w:type="dxa"/>
            <w:right w:w="108" w:type="dxa"/>
          </w:tblCellMar>
        </w:tblPrEx>
        <w:trPr>
          <w:trHeight w:val="578" w:hRule="atLeast"/>
        </w:trPr>
        <w:tc>
          <w:tcPr>
            <w:tcW w:w="1342"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3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578" w:hRule="atLeast"/>
        </w:trPr>
        <w:tc>
          <w:tcPr>
            <w:tcW w:w="134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日常办公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tabs>
                <w:tab w:val="left" w:pos="803"/>
                <w:tab w:val="center" w:pos="1531"/>
              </w:tabs>
              <w:jc w:val="center"/>
              <w:rPr>
                <w:rFonts w:ascii="宋体" w:hAnsi="宋体" w:cs="宋体"/>
                <w:kern w:val="0"/>
                <w:sz w:val="18"/>
                <w:szCs w:val="18"/>
              </w:rPr>
            </w:pPr>
            <w:r>
              <w:rPr>
                <w:rFonts w:hint="eastAsia" w:ascii="宋体" w:hAnsi="宋体" w:cs="宋体"/>
                <w:kern w:val="0"/>
                <w:sz w:val="18"/>
                <w:szCs w:val="18"/>
                <w:lang w:eastAsia="zh-CN"/>
              </w:rPr>
              <w:t>3.2万元</w:t>
            </w:r>
          </w:p>
        </w:tc>
      </w:tr>
      <w:tr>
        <w:tblPrEx>
          <w:tblLayout w:type="fixed"/>
        </w:tblPrEx>
        <w:trPr>
          <w:trHeight w:val="57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车辆运行</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1.8万元</w:t>
            </w:r>
          </w:p>
        </w:tc>
      </w:tr>
      <w:tr>
        <w:tblPrEx>
          <w:tblLayout w:type="fixed"/>
          <w:tblCellMar>
            <w:top w:w="0" w:type="dxa"/>
            <w:left w:w="108" w:type="dxa"/>
            <w:bottom w:w="0" w:type="dxa"/>
            <w:right w:w="108" w:type="dxa"/>
          </w:tblCellMar>
        </w:tblPrEx>
        <w:trPr>
          <w:trHeight w:val="57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目标完成阶段性考核</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每季度末</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目标完成时间</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2019年12月31日</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0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33"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203"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8" w:hRule="atLeast"/>
        </w:trPr>
        <w:tc>
          <w:tcPr>
            <w:tcW w:w="134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1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6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宣传活动</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开展宣传活动12场次等　</w:t>
            </w:r>
          </w:p>
        </w:tc>
      </w:tr>
      <w:tr>
        <w:tblPrEx>
          <w:tblLayout w:type="fixed"/>
          <w:tblCellMar>
            <w:top w:w="0" w:type="dxa"/>
            <w:left w:w="108" w:type="dxa"/>
            <w:bottom w:w="0" w:type="dxa"/>
            <w:right w:w="108" w:type="dxa"/>
          </w:tblCellMar>
        </w:tblPrEx>
        <w:trPr>
          <w:trHeight w:val="24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04"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扶贫帮困</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为村里建立家庭档案、扶贫帮困档案，计400户册　</w:t>
            </w:r>
          </w:p>
        </w:tc>
      </w:tr>
      <w:tr>
        <w:tblPrEx>
          <w:tblLayout w:type="fixed"/>
        </w:tblPrEx>
        <w:trPr>
          <w:trHeight w:val="338"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扶贫帮困</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为村民办好事办实事，计350户次　</w:t>
            </w:r>
          </w:p>
        </w:tc>
      </w:tr>
      <w:tr>
        <w:tblPrEx>
          <w:tblLayout w:type="fixed"/>
          <w:tblCellMar>
            <w:top w:w="0" w:type="dxa"/>
            <w:left w:w="108" w:type="dxa"/>
            <w:bottom w:w="0" w:type="dxa"/>
            <w:right w:w="108" w:type="dxa"/>
          </w:tblCellMar>
        </w:tblPrEx>
        <w:trPr>
          <w:trHeight w:val="263"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33"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34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36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服务度满意</w:t>
            </w:r>
            <w:r>
              <w:rPr>
                <w:rFonts w:hint="eastAsia" w:ascii="宋体" w:hAnsi="宋体" w:cs="宋体"/>
                <w:kern w:val="0"/>
                <w:sz w:val="18"/>
                <w:szCs w:val="18"/>
                <w:lang w:eastAsia="zh-CN"/>
              </w:rPr>
              <w:t>度</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服务度满意达90%以上　</w:t>
            </w:r>
          </w:p>
        </w:tc>
      </w:tr>
      <w:tr>
        <w:tblPrEx>
          <w:tblLayout w:type="fixed"/>
          <w:tblCellMar>
            <w:top w:w="0" w:type="dxa"/>
            <w:left w:w="108" w:type="dxa"/>
            <w:bottom w:w="0" w:type="dxa"/>
            <w:right w:w="108" w:type="dxa"/>
          </w:tblCellMar>
        </w:tblPrEx>
        <w:trPr>
          <w:trHeight w:val="397" w:hRule="atLeast"/>
        </w:trPr>
        <w:tc>
          <w:tcPr>
            <w:tcW w:w="134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36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40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76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tabs>
          <w:tab w:val="left" w:pos="223"/>
        </w:tabs>
        <w:jc w:val="both"/>
        <w:rPr>
          <w:lang w:val="en-US" w:eastAsia="zh-CN"/>
        </w:rPr>
      </w:pPr>
    </w:p>
    <w:p>
      <w:pPr>
        <w:tabs>
          <w:tab w:val="left" w:pos="223"/>
        </w:tabs>
        <w:jc w:val="both"/>
        <w:rPr>
          <w:lang w:val="en-US" w:eastAsia="zh-CN"/>
        </w:rPr>
      </w:pPr>
    </w:p>
    <w:p>
      <w:pPr>
        <w:spacing w:line="500" w:lineRule="exact"/>
        <w:jc w:val="both"/>
        <w:rPr>
          <w:rFonts w:hint="eastAsia" w:ascii="仿宋_GB2312" w:hAnsi="宋体" w:eastAsia="仿宋_GB2312" w:cs="宋体"/>
          <w:b/>
          <w:bCs/>
          <w:kern w:val="0"/>
          <w:sz w:val="32"/>
          <w:szCs w:val="32"/>
          <w:lang w:val="en-US" w:eastAsia="zh-CN"/>
        </w:rPr>
      </w:pPr>
    </w:p>
    <w:p>
      <w:pPr>
        <w:spacing w:line="500" w:lineRule="exact"/>
        <w:ind w:firstLine="2249" w:firstLineChars="700"/>
        <w:jc w:val="both"/>
        <w:rPr>
          <w:rFonts w:hint="eastAsia" w:ascii="仿宋_GB2312" w:hAnsi="宋体" w:eastAsia="仿宋_GB2312" w:cs="宋体"/>
          <w:b/>
          <w:bCs/>
          <w:kern w:val="0"/>
          <w:sz w:val="32"/>
          <w:szCs w:val="32"/>
          <w:lang w:val="en-US" w:eastAsia="zh-CN"/>
        </w:rPr>
      </w:pPr>
      <w:r>
        <w:rPr>
          <w:rFonts w:hint="eastAsia" w:ascii="仿宋_GB2312" w:hAnsi="宋体" w:eastAsia="仿宋_GB2312" w:cs="宋体"/>
          <w:b/>
          <w:bCs/>
          <w:kern w:val="0"/>
          <w:sz w:val="32"/>
          <w:szCs w:val="32"/>
          <w:lang w:val="en-US" w:eastAsia="zh-CN"/>
        </w:rPr>
        <w:t>项 目 支 出 绩 效 目 标 表 二</w:t>
      </w:r>
    </w:p>
    <w:p>
      <w:pPr>
        <w:spacing w:line="500" w:lineRule="exact"/>
        <w:ind w:firstLine="2249" w:firstLineChars="700"/>
        <w:jc w:val="both"/>
        <w:rPr>
          <w:rFonts w:hint="eastAsia" w:ascii="仿宋_GB2312" w:hAnsi="宋体" w:eastAsia="仿宋_GB2312" w:cs="宋体"/>
          <w:b/>
          <w:bCs/>
          <w:kern w:val="0"/>
          <w:sz w:val="32"/>
          <w:szCs w:val="32"/>
          <w:lang w:val="en-US" w:eastAsia="zh-CN"/>
        </w:rPr>
      </w:pPr>
    </w:p>
    <w:tbl>
      <w:tblPr>
        <w:tblStyle w:val="10"/>
        <w:tblW w:w="7912" w:type="dxa"/>
        <w:tblInd w:w="93" w:type="dxa"/>
        <w:tblLayout w:type="fixed"/>
        <w:tblCellMar>
          <w:top w:w="0" w:type="dxa"/>
          <w:left w:w="108" w:type="dxa"/>
          <w:bottom w:w="0" w:type="dxa"/>
          <w:right w:w="108" w:type="dxa"/>
        </w:tblCellMar>
      </w:tblPr>
      <w:tblGrid>
        <w:gridCol w:w="1664"/>
        <w:gridCol w:w="1253"/>
        <w:gridCol w:w="1036"/>
        <w:gridCol w:w="1020"/>
        <w:gridCol w:w="59"/>
        <w:gridCol w:w="954"/>
        <w:gridCol w:w="1003"/>
        <w:gridCol w:w="923"/>
      </w:tblGrid>
      <w:tr>
        <w:tblPrEx>
          <w:tblLayout w:type="fixed"/>
          <w:tblCellMar>
            <w:top w:w="0" w:type="dxa"/>
            <w:left w:w="108" w:type="dxa"/>
            <w:bottom w:w="0" w:type="dxa"/>
            <w:right w:w="108" w:type="dxa"/>
          </w:tblCellMar>
        </w:tblPrEx>
        <w:trPr>
          <w:trHeight w:val="373" w:hRule="atLeast"/>
        </w:trPr>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30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克孜勒苏柯尔克孜自治州草原监理所</w:t>
            </w:r>
          </w:p>
        </w:tc>
        <w:tc>
          <w:tcPr>
            <w:tcW w:w="101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19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群众工作人员补助</w:t>
            </w:r>
          </w:p>
        </w:tc>
      </w:tr>
      <w:tr>
        <w:tblPrEx>
          <w:tblLayout w:type="fixed"/>
          <w:tblCellMar>
            <w:top w:w="0" w:type="dxa"/>
            <w:left w:w="108" w:type="dxa"/>
            <w:bottom w:w="0" w:type="dxa"/>
            <w:right w:w="108" w:type="dxa"/>
          </w:tblCellMar>
        </w:tblPrEx>
        <w:trPr>
          <w:trHeight w:val="703" w:hRule="atLeast"/>
        </w:trPr>
        <w:tc>
          <w:tcPr>
            <w:tcW w:w="166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2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rPr>
              <w:t>年度资金总额：</w:t>
            </w:r>
          </w:p>
        </w:tc>
        <w:tc>
          <w:tcPr>
            <w:tcW w:w="10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20.32</w:t>
            </w:r>
            <w:r>
              <w:rPr>
                <w:rFonts w:hint="eastAsia" w:ascii="宋体" w:hAnsi="宋体" w:cs="宋体"/>
                <w:kern w:val="0"/>
                <w:sz w:val="18"/>
                <w:szCs w:val="18"/>
              </w:rPr>
              <w:t>　</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13"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20.32</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9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0.00</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6248" w:type="dxa"/>
            <w:gridSpan w:val="7"/>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聚焦总目标，使</w:t>
            </w:r>
            <w:r>
              <w:rPr>
                <w:rFonts w:hint="eastAsia" w:ascii="宋体" w:hAnsi="宋体" w:cs="宋体"/>
                <w:kern w:val="0"/>
                <w:sz w:val="18"/>
                <w:szCs w:val="18"/>
              </w:rPr>
              <w:t>驻村点群众充分了解党和国家的政策、富民措施，提高劳动生产率，增加收入，共同富裕发展</w:t>
            </w:r>
            <w:r>
              <w:rPr>
                <w:rFonts w:hint="eastAsia" w:ascii="宋体" w:hAnsi="宋体" w:cs="宋体"/>
                <w:kern w:val="0"/>
                <w:sz w:val="18"/>
                <w:szCs w:val="18"/>
                <w:lang w:eastAsia="zh-CN"/>
              </w:rPr>
              <w:t>；</w:t>
            </w:r>
            <w:r>
              <w:rPr>
                <w:rFonts w:hint="eastAsia" w:ascii="宋体" w:hAnsi="宋体" w:cs="宋体"/>
                <w:kern w:val="0"/>
                <w:sz w:val="18"/>
                <w:szCs w:val="18"/>
              </w:rPr>
              <w:t>接受支教学生受到教育关爱。</w:t>
            </w:r>
          </w:p>
        </w:tc>
      </w:tr>
      <w:tr>
        <w:tblPrEx>
          <w:tblLayout w:type="fixed"/>
          <w:tblCellMar>
            <w:top w:w="0" w:type="dxa"/>
            <w:left w:w="108" w:type="dxa"/>
            <w:bottom w:w="0" w:type="dxa"/>
            <w:right w:w="108" w:type="dxa"/>
          </w:tblCellMar>
        </w:tblPrEx>
        <w:trPr>
          <w:trHeight w:val="368" w:hRule="atLeast"/>
        </w:trPr>
        <w:tc>
          <w:tcPr>
            <w:tcW w:w="166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2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426"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群众工作人员补助</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7人</w:t>
            </w:r>
            <w:r>
              <w:rPr>
                <w:rFonts w:hint="default" w:ascii="宋体" w:hAnsi="宋体" w:cs="宋体"/>
                <w:kern w:val="0"/>
                <w:sz w:val="18"/>
                <w:szCs w:val="18"/>
                <w:lang w:val="en-US" w:eastAsia="zh-CN"/>
              </w:rPr>
              <w:t>×</w:t>
            </w:r>
            <w:r>
              <w:rPr>
                <w:rFonts w:hint="eastAsia" w:ascii="宋体" w:hAnsi="宋体" w:cs="宋体"/>
                <w:kern w:val="0"/>
                <w:sz w:val="18"/>
                <w:szCs w:val="18"/>
                <w:lang w:val="en-US" w:eastAsia="zh-CN"/>
              </w:rPr>
              <w:t>0.18万元</w:t>
            </w:r>
            <w:r>
              <w:rPr>
                <w:rFonts w:hint="default" w:ascii="宋体" w:hAnsi="宋体" w:cs="宋体"/>
                <w:kern w:val="0"/>
                <w:sz w:val="18"/>
                <w:szCs w:val="18"/>
                <w:lang w:val="en-US" w:eastAsia="zh-CN"/>
              </w:rPr>
              <w:t>×</w:t>
            </w:r>
            <w:r>
              <w:rPr>
                <w:rFonts w:hint="eastAsia" w:ascii="宋体" w:hAnsi="宋体" w:cs="宋体"/>
                <w:kern w:val="0"/>
                <w:sz w:val="18"/>
                <w:szCs w:val="18"/>
                <w:lang w:val="en-US" w:eastAsia="zh-CN"/>
              </w:rPr>
              <w:t>12个月=15.12万元，</w:t>
            </w:r>
          </w:p>
          <w:p>
            <w:pPr>
              <w:widowControl/>
              <w:jc w:val="left"/>
              <w:rPr>
                <w:rFonts w:hint="eastAsia" w:ascii="宋体" w:hAnsi="宋体" w:cs="宋体"/>
                <w:kern w:val="0"/>
                <w:sz w:val="18"/>
                <w:szCs w:val="18"/>
                <w:lang w:val="en-US" w:eastAsia="zh-CN"/>
              </w:rPr>
            </w:pPr>
          </w:p>
        </w:tc>
      </w:tr>
      <w:tr>
        <w:tblPrEx>
          <w:tblLayout w:type="fixed"/>
        </w:tblPrEx>
        <w:trPr>
          <w:trHeight w:val="216"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教育工作人员</w:t>
            </w:r>
            <w:r>
              <w:rPr>
                <w:rFonts w:hint="eastAsia" w:ascii="宋体" w:hAnsi="宋体" w:cs="宋体"/>
                <w:kern w:val="0"/>
                <w:sz w:val="18"/>
                <w:szCs w:val="18"/>
                <w:lang w:eastAsia="zh-CN"/>
              </w:rPr>
              <w:t>补助</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cs="宋体"/>
                <w:kern w:val="0"/>
                <w:sz w:val="18"/>
                <w:szCs w:val="18"/>
                <w:lang w:val="en-US" w:eastAsia="zh-CN"/>
              </w:rPr>
            </w:pPr>
            <w:r>
              <w:rPr>
                <w:rFonts w:hint="eastAsia" w:ascii="宋体" w:hAnsi="宋体" w:cs="宋体"/>
                <w:kern w:val="0"/>
                <w:sz w:val="18"/>
                <w:szCs w:val="18"/>
                <w:lang w:val="en-US" w:eastAsia="zh-CN"/>
              </w:rPr>
              <w:t>2人</w:t>
            </w:r>
            <w:r>
              <w:rPr>
                <w:rFonts w:hint="default" w:ascii="宋体" w:hAnsi="宋体" w:cs="宋体"/>
                <w:kern w:val="0"/>
                <w:sz w:val="18"/>
                <w:szCs w:val="18"/>
                <w:lang w:val="en-US" w:eastAsia="zh-CN"/>
              </w:rPr>
              <w:t>×</w:t>
            </w:r>
            <w:r>
              <w:rPr>
                <w:rFonts w:hint="eastAsia" w:ascii="宋体" w:hAnsi="宋体" w:cs="宋体"/>
                <w:kern w:val="0"/>
                <w:sz w:val="18"/>
                <w:szCs w:val="18"/>
                <w:lang w:val="en-US" w:eastAsia="zh-CN"/>
              </w:rPr>
              <w:t>0.26万元</w:t>
            </w:r>
            <w:r>
              <w:rPr>
                <w:rFonts w:hint="default" w:ascii="宋体" w:hAnsi="宋体" w:cs="宋体"/>
                <w:kern w:val="0"/>
                <w:sz w:val="18"/>
                <w:szCs w:val="18"/>
                <w:lang w:val="en-US" w:eastAsia="zh-CN"/>
              </w:rPr>
              <w:t>×</w:t>
            </w:r>
            <w:r>
              <w:rPr>
                <w:rFonts w:hint="eastAsia" w:ascii="宋体" w:hAnsi="宋体" w:cs="宋体"/>
                <w:kern w:val="0"/>
                <w:sz w:val="18"/>
                <w:szCs w:val="18"/>
                <w:lang w:val="en-US" w:eastAsia="zh-CN"/>
              </w:rPr>
              <w:t>10个月=5.20万元</w:t>
            </w:r>
          </w:p>
          <w:p>
            <w:pPr>
              <w:widowControl/>
              <w:jc w:val="left"/>
              <w:rPr>
                <w:rFonts w:hint="eastAsia" w:ascii="宋体" w:hAnsi="宋体" w:cs="宋体"/>
                <w:kern w:val="0"/>
                <w:sz w:val="18"/>
                <w:szCs w:val="18"/>
                <w:lang w:val="en-US" w:eastAsia="zh-CN"/>
              </w:rPr>
            </w:pP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目标完成阶段性考核</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每季度末</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目标完成时间</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2019年12月31日</w:t>
            </w: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9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2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PrEx>
        <w:trPr>
          <w:trHeight w:val="15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4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17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3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w:t>
            </w:r>
            <w:r>
              <w:rPr>
                <w:rFonts w:hint="eastAsia" w:ascii="宋体" w:hAnsi="宋体" w:cs="宋体"/>
                <w:kern w:val="0"/>
                <w:sz w:val="18"/>
                <w:szCs w:val="18"/>
                <w:lang w:eastAsia="zh-CN"/>
              </w:rPr>
              <w:t>宣传活动</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开展宣传活动12场次等　</w:t>
            </w:r>
          </w:p>
        </w:tc>
      </w:tr>
      <w:tr>
        <w:tblPrEx>
          <w:tblLayout w:type="fixed"/>
          <w:tblCellMar>
            <w:top w:w="0" w:type="dxa"/>
            <w:left w:w="108" w:type="dxa"/>
            <w:bottom w:w="0" w:type="dxa"/>
            <w:right w:w="108" w:type="dxa"/>
          </w:tblCellMar>
        </w:tblPrEx>
        <w:trPr>
          <w:trHeight w:val="30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41"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驻村点群众</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群众充分了解党和国家的政策、富民措施，提高劳动生产率，增加收入，共同富裕发展　</w:t>
            </w:r>
          </w:p>
        </w:tc>
      </w:tr>
      <w:tr>
        <w:tblPrEx>
          <w:tblLayout w:type="fixed"/>
        </w:tblPrEx>
        <w:trPr>
          <w:trHeight w:val="578"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接受支教学生</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接受支教学生受到教育关爱　</w:t>
            </w:r>
          </w:p>
        </w:tc>
      </w:tr>
      <w:tr>
        <w:tblPrEx>
          <w:tblLayout w:type="fixed"/>
          <w:tblCellMar>
            <w:top w:w="0" w:type="dxa"/>
            <w:left w:w="108" w:type="dxa"/>
            <w:bottom w:w="0" w:type="dxa"/>
            <w:right w:w="108" w:type="dxa"/>
          </w:tblCellMar>
        </w:tblPrEx>
        <w:trPr>
          <w:trHeight w:val="23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93"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13" w:hRule="atLeast"/>
        </w:trPr>
        <w:tc>
          <w:tcPr>
            <w:tcW w:w="166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25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服务度满意</w:t>
            </w:r>
            <w:r>
              <w:rPr>
                <w:rFonts w:hint="eastAsia" w:ascii="宋体" w:hAnsi="宋体" w:cs="宋体"/>
                <w:kern w:val="0"/>
                <w:sz w:val="18"/>
                <w:szCs w:val="18"/>
                <w:lang w:eastAsia="zh-CN"/>
              </w:rPr>
              <w:t>度</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服务度满意达90%以上　</w:t>
            </w:r>
          </w:p>
        </w:tc>
      </w:tr>
      <w:tr>
        <w:tblPrEx>
          <w:tblLayout w:type="fixed"/>
          <w:tblCellMar>
            <w:top w:w="0" w:type="dxa"/>
            <w:left w:w="108" w:type="dxa"/>
            <w:bottom w:w="0" w:type="dxa"/>
            <w:right w:w="108" w:type="dxa"/>
          </w:tblCellMar>
        </w:tblPrEx>
        <w:trPr>
          <w:trHeight w:val="397" w:hRule="atLeast"/>
        </w:trPr>
        <w:tc>
          <w:tcPr>
            <w:tcW w:w="166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25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115"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880"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jc w:val="left"/>
        <w:rPr>
          <w:rFonts w:hint="eastAsia"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spacing w:line="550" w:lineRule="exact"/>
        <w:ind w:firstLine="642"/>
        <w:rPr>
          <w:rFonts w:ascii="仿宋_GB2312" w:hAnsi="宋体" w:eastAsia="仿宋_GB2312" w:cs="宋体"/>
          <w:kern w:val="0"/>
          <w:sz w:val="32"/>
          <w:szCs w:val="32"/>
        </w:rPr>
      </w:pPr>
      <w:r>
        <w:rPr>
          <w:rFonts w:hint="eastAsia" w:ascii="仿宋_GB2312" w:eastAsia="仿宋_GB2312"/>
          <w:sz w:val="32"/>
          <w:szCs w:val="32"/>
          <w:lang w:eastAsia="zh-CN"/>
        </w:rPr>
        <w:t>无</w:t>
      </w:r>
      <w:r>
        <w:rPr>
          <w:rFonts w:hint="eastAsia" w:ascii="仿宋_GB2312" w:eastAsia="仿宋_GB2312"/>
          <w:sz w:val="32"/>
          <w:szCs w:val="32"/>
        </w:rPr>
        <w:t>其他需说明的事项</w:t>
      </w:r>
      <w:r>
        <w:rPr>
          <w:rFonts w:hint="eastAsia" w:ascii="仿宋_GB2312" w:eastAsia="仿宋_GB2312"/>
          <w:sz w:val="32"/>
          <w:szCs w:val="32"/>
          <w:lang w:eastAsia="zh-CN"/>
        </w:rPr>
        <w:t>。</w:t>
      </w: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6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5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5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z w:val="32"/>
          <w:szCs w:val="32"/>
        </w:rPr>
        <w:t>包括公共财政拨款（补助）资金、专项收入。</w:t>
      </w:r>
    </w:p>
    <w:p>
      <w:pPr>
        <w:spacing w:line="55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5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5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5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部门支出预算的组成部分，是自治区本级部门为完成其特定的行政任务或事业发展目标，在基本支出预算之外编制的年度项目支出计划。</w:t>
      </w:r>
    </w:p>
    <w:p>
      <w:pPr>
        <w:spacing w:line="55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区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5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50" w:lineRule="exact"/>
        <w:ind w:firstLine="640"/>
        <w:rPr>
          <w:rFonts w:ascii="仿宋_GB2312" w:eastAsia="仿宋_GB2312"/>
          <w:b/>
          <w:szCs w:val="20"/>
        </w:rPr>
      </w:pP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仿宋_GB2312" w:eastAsia="仿宋_GB2312" w:cs="仿宋_GB2312"/>
          <w:color w:val="auto"/>
          <w:kern w:val="0"/>
          <w:sz w:val="32"/>
          <w:szCs w:val="32"/>
          <w:shd w:val="clear" w:color="auto" w:fill="FFFFFF"/>
          <w:lang w:eastAsia="zh-CN"/>
        </w:rPr>
        <w:t>克孜勒苏柯尔克孜自治州</w:t>
      </w:r>
      <w:r>
        <w:rPr>
          <w:rFonts w:hint="eastAsia" w:ascii="仿宋_GB2312" w:hAnsi="仿宋_GB2312" w:eastAsia="仿宋_GB2312" w:cs="仿宋_GB2312"/>
          <w:color w:val="auto"/>
          <w:kern w:val="0"/>
          <w:sz w:val="32"/>
          <w:szCs w:val="32"/>
          <w:shd w:val="clear" w:color="auto" w:fill="FFFFFF"/>
        </w:rPr>
        <w:t>草原监理所</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2019</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28</w:t>
      </w:r>
      <w:r>
        <w:rPr>
          <w:rFonts w:ascii="仿宋_GB2312" w:hAnsi="宋体" w:eastAsia="仿宋_GB2312" w:cs="宋体"/>
          <w:kern w:val="0"/>
          <w:sz w:val="32"/>
          <w:szCs w:val="32"/>
        </w:rPr>
        <w:t>日</w:t>
      </w:r>
    </w:p>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Segoe UI">
    <w:altName w:val="Lucida Sans Unicode"/>
    <w:panose1 w:val="020B0502040204020203"/>
    <w:charset w:val="00"/>
    <w:family w:val="swiss"/>
    <w:pitch w:val="default"/>
    <w:sig w:usb0="00000000" w:usb1="00000000" w:usb2="00000029" w:usb3="00000000" w:csb0="200001DF" w:csb1="2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4097" o:spid="_x0000_s4097" o:spt="202" type="#_x0000_t202" style="position:absolute;left:0pt;margin-top:0pt;height:144pt;width:144pt;mso-position-horizontal:inside;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0"/>
        <w:tab w:val="right" w:pos="9020"/>
      </w:tabs>
      <w:jc w:val="left"/>
      <w:rPr>
        <w:rFonts w:ascii="宋体" w:hAnsi="宋体" w:eastAsia="宋体"/>
        <w:sz w:val="28"/>
        <w:szCs w:val="28"/>
      </w:rPr>
    </w:pPr>
    <w:r>
      <w:rPr>
        <w:sz w:val="28"/>
      </w:rPr>
      <w:pict>
        <v:shape id="_x0000_s4098" o:spid="_x0000_s4098"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w:r>
    <w:r>
      <w:rPr>
        <w:sz w:val="28"/>
      </w:rPr>
      <w:pict>
        <v:shape id="_x0000_s4099" o:spid="_x0000_s4099" o:spt="202" type="#_x0000_t202" style="position:absolute;left:0pt;margin-top:0pt;height:144pt;width:144pt;mso-position-horizontal:inside;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0" o:spid="_x0000_s410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1" o:spid="_x0000_s4101"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2" o:spid="_x0000_s4102" o:spt="202" type="#_x0000_t202" style="position:absolute;left:0pt;margin-top:0pt;height:144pt;width:144pt;mso-position-horizontal:in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3" o:spid="_x0000_s4103" o:spt="202" type="#_x0000_t202" style="position:absolute;left:0pt;margin-top:0pt;height:144pt;width:144pt;mso-position-horizontal:in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sz w:val="28"/>
      </w:rPr>
      <w:pict>
        <v:shape id="_x0000_s4104" o:spid="_x0000_s4104"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p>
            </w:txbxContent>
          </v:textbox>
        </v:shape>
      </w:pict>
    </w:r>
    <w:r>
      <w:rPr>
        <w:rFonts w:hint="eastAsia" w:ascii="宋体" w:hAnsi="宋体" w:eastAsia="宋体"/>
        <w:sz w:val="28"/>
        <w:szCs w:val="28"/>
        <w:lang w:eastAsia="zh-CN"/>
      </w:rPr>
      <w:tab/>
    </w:r>
    <w:r>
      <w:rPr>
        <w:rFonts w:hint="eastAsia" w:ascii="宋体" w:hAnsi="宋体" w:eastAsia="宋体"/>
        <w:sz w:val="28"/>
        <w:szCs w:val="28"/>
        <w:lang w:eastAsia="zh-CN"/>
      </w:rPr>
      <w:tab/>
    </w:r>
    <w:r>
      <w:rPr>
        <w:rFonts w:hint="eastAsia" w:ascii="宋体" w:hAnsi="宋体" w:eastAsia="宋体"/>
        <w:sz w:val="28"/>
        <w:szCs w:val="28"/>
        <w:lang w:eastAsia="zh-CN"/>
      </w:rPr>
      <w:tab/>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B4D94"/>
    <w:multiLevelType w:val="singleLevel"/>
    <w:tmpl w:val="947B4D94"/>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B5144"/>
    <w:rsid w:val="002B5144"/>
    <w:rsid w:val="00325B17"/>
    <w:rsid w:val="00FC6ABD"/>
    <w:rsid w:val="04DB2836"/>
    <w:rsid w:val="0639663C"/>
    <w:rsid w:val="06FF35F2"/>
    <w:rsid w:val="079C6E8B"/>
    <w:rsid w:val="07FB079A"/>
    <w:rsid w:val="084C5D66"/>
    <w:rsid w:val="0B2E5C82"/>
    <w:rsid w:val="0C611E99"/>
    <w:rsid w:val="0C8C60CF"/>
    <w:rsid w:val="0D71237C"/>
    <w:rsid w:val="0DA91F22"/>
    <w:rsid w:val="0E485DA0"/>
    <w:rsid w:val="0F341B11"/>
    <w:rsid w:val="11A101D9"/>
    <w:rsid w:val="11B14915"/>
    <w:rsid w:val="11CD7DD6"/>
    <w:rsid w:val="1A1A38D6"/>
    <w:rsid w:val="1CDF4737"/>
    <w:rsid w:val="1DB92521"/>
    <w:rsid w:val="201B2DE2"/>
    <w:rsid w:val="20394873"/>
    <w:rsid w:val="258E14D7"/>
    <w:rsid w:val="26045169"/>
    <w:rsid w:val="267A5177"/>
    <w:rsid w:val="26CB6ED4"/>
    <w:rsid w:val="29000A2B"/>
    <w:rsid w:val="2A6D49F3"/>
    <w:rsid w:val="313B0512"/>
    <w:rsid w:val="32EC1BA7"/>
    <w:rsid w:val="39E20DD8"/>
    <w:rsid w:val="3B244F1B"/>
    <w:rsid w:val="3C0500F1"/>
    <w:rsid w:val="3E2449A6"/>
    <w:rsid w:val="3E7666BD"/>
    <w:rsid w:val="40A63BE9"/>
    <w:rsid w:val="411C0CA8"/>
    <w:rsid w:val="454A5264"/>
    <w:rsid w:val="46331E24"/>
    <w:rsid w:val="46EF2171"/>
    <w:rsid w:val="47DC4577"/>
    <w:rsid w:val="48950024"/>
    <w:rsid w:val="49A91DB1"/>
    <w:rsid w:val="4A95166C"/>
    <w:rsid w:val="50EE6126"/>
    <w:rsid w:val="544A3187"/>
    <w:rsid w:val="56615038"/>
    <w:rsid w:val="58C317A5"/>
    <w:rsid w:val="5ECD0DE4"/>
    <w:rsid w:val="5FA0312C"/>
    <w:rsid w:val="611D7B4E"/>
    <w:rsid w:val="673E495D"/>
    <w:rsid w:val="67463C73"/>
    <w:rsid w:val="676711CA"/>
    <w:rsid w:val="67AD562D"/>
    <w:rsid w:val="684E4258"/>
    <w:rsid w:val="68A76DB4"/>
    <w:rsid w:val="69F370D1"/>
    <w:rsid w:val="6C0023F5"/>
    <w:rsid w:val="6FFD34AB"/>
    <w:rsid w:val="742A464C"/>
    <w:rsid w:val="752C415E"/>
    <w:rsid w:val="758E2730"/>
    <w:rsid w:val="777F065E"/>
    <w:rsid w:val="785D27EA"/>
    <w:rsid w:val="78B32052"/>
    <w:rsid w:val="7DFA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sz w:val="18"/>
      <w:szCs w:val="18"/>
    </w:rPr>
  </w:style>
  <w:style w:type="paragraph" w:styleId="3">
    <w:name w:val="footer"/>
    <w:basedOn w:val="1"/>
    <w:link w:val="12"/>
    <w:qFormat/>
    <w:uiPriority w:val="99"/>
    <w:pPr>
      <w:tabs>
        <w:tab w:val="center" w:pos="4153"/>
        <w:tab w:val="right" w:pos="8306"/>
      </w:tabs>
      <w:snapToGrid w:val="0"/>
      <w:jc w:val="left"/>
    </w:pPr>
    <w:rPr>
      <w:rFonts w:eastAsia="黑体"/>
      <w:snapToGrid w:val="0"/>
      <w:kern w:val="0"/>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6"/>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pPr>
      <w:spacing w:line="240" w:lineRule="auto"/>
      <w:jc w:val="left"/>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7"/>
    <w:link w:val="3"/>
    <w:qFormat/>
    <w:uiPriority w:val="99"/>
    <w:rPr>
      <w:rFonts w:ascii="Times New Roman" w:hAnsi="Times New Roman" w:eastAsia="黑体" w:cs="Times New Roman"/>
      <w:snapToGrid w:val="0"/>
      <w:kern w:val="0"/>
      <w:sz w:val="18"/>
      <w:szCs w:val="18"/>
    </w:rPr>
  </w:style>
  <w:style w:type="paragraph" w:customStyle="1" w:styleId="13">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4">
    <w:name w:val="批注框文本 Char"/>
    <w:basedOn w:val="7"/>
    <w:link w:val="2"/>
    <w:semiHidden/>
    <w:qFormat/>
    <w:uiPriority w:val="0"/>
    <w:rPr>
      <w:rFonts w:ascii="Times New Roman" w:hAnsi="Times New Roman" w:eastAsia="宋体" w:cs="Times New Roman"/>
      <w:sz w:val="18"/>
      <w:szCs w:val="18"/>
    </w:rPr>
  </w:style>
  <w:style w:type="character" w:customStyle="1" w:styleId="15">
    <w:name w:val="页眉 Char"/>
    <w:basedOn w:val="7"/>
    <w:link w:val="4"/>
    <w:qFormat/>
    <w:uiPriority w:val="0"/>
    <w:rPr>
      <w:rFonts w:ascii="Times New Roman" w:hAnsi="Times New Roman" w:eastAsia="宋体" w:cs="Times New Roman"/>
      <w:sz w:val="18"/>
      <w:szCs w:val="18"/>
    </w:rPr>
  </w:style>
  <w:style w:type="character" w:customStyle="1" w:styleId="16">
    <w:name w:val="正文文本缩进 3 Char"/>
    <w:basedOn w:val="7"/>
    <w:link w:val="5"/>
    <w:qFormat/>
    <w:uiPriority w:val="0"/>
    <w:rPr>
      <w:rFonts w:ascii="Times New Roman" w:hAnsi="Times New Roman" w:eastAsia="仿宋_GB2312" w:cs="Times New Roman"/>
      <w:sz w:val="32"/>
      <w:szCs w:val="24"/>
    </w:rPr>
  </w:style>
  <w:style w:type="paragraph" w:styleId="17">
    <w:name w:val="List Paragraph"/>
    <w:basedOn w:val="1"/>
    <w:qFormat/>
    <w:uiPriority w:val="34"/>
    <w:pPr>
      <w:ind w:firstLine="420" w:firstLineChars="200"/>
    </w:pPr>
    <w:rPr>
      <w:rFonts w:ascii="Calibri" w:hAnsi="Calibri"/>
      <w:szCs w:val="22"/>
    </w:rPr>
  </w:style>
  <w:style w:type="paragraph" w:customStyle="1" w:styleId="18">
    <w:name w:val="普通(网站)1"/>
    <w:basedOn w:val="1"/>
    <w:qFormat/>
    <w:uiPriority w:val="0"/>
    <w:rPr>
      <w:rFonts w:ascii="Calibri" w:hAnsi="Calibri" w:cs="黑体"/>
      <w:sz w:val="24"/>
    </w:rPr>
  </w:style>
  <w:style w:type="paragraph" w:customStyle="1" w:styleId="19">
    <w:name w:val="普通(网站)2"/>
    <w:basedOn w:val="1"/>
    <w:qFormat/>
    <w:uiPriority w:val="0"/>
    <w:rPr>
      <w:rFonts w:ascii="Calibri" w:hAnsi="Calibri" w:cs="黑体"/>
      <w:sz w:val="24"/>
    </w:rPr>
  </w:style>
  <w:style w:type="paragraph" w:customStyle="1" w:styleId="20">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1575</Words>
  <Characters>8978</Characters>
  <Lines>74</Lines>
  <Paragraphs>21</Paragraphs>
  <TotalTime>1</TotalTime>
  <ScaleCrop>false</ScaleCrop>
  <LinksUpToDate>false</LinksUpToDate>
  <CharactersWithSpaces>10532</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2019-01-15T10:37:00Z</dcterms:created>
  <dc:creator>王怡</dc:creator>
  <cp:lastModifiedBy>阿甘</cp:lastModifiedBy>
  <cp:lastPrinted>2019-02-01T04:04:00Z</cp:lastPrinted>
  <dcterms:modified xsi:type="dcterms:W3CDTF">2019-02-09T07:57:32Z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