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  <w:lang w:val="en-US"/>
        </w:rPr>
        <w:drawing>
          <wp:inline distT="0" distB="0" distL="114300" distR="114300">
            <wp:extent cx="5478780" cy="1541780"/>
            <wp:effectExtent l="0" t="0" r="7620" b="127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>
                      <a:clrChange>
                        <a:clrFrom>
                          <a:srgbClr val="FDF2FF">
                            <a:alpha val="100000"/>
                          </a:srgbClr>
                        </a:clrFrom>
                        <a:clrTo>
                          <a:srgbClr val="FDF2FF">
                            <a:alpha val="100000"/>
                            <a:alpha val="0"/>
                          </a:srgbClr>
                        </a:clrTo>
                      </a:clrChange>
                      <a:lum bright="-18000"/>
                    </a:blip>
                    <a:srcRect l="15003" t="29561" r="13992" b="56500"/>
                  </pic:blipFill>
                  <pic:spPr>
                    <a:xfrm>
                      <a:off x="0" y="0"/>
                      <a:ext cx="547878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克孜勒苏柯尔克孜自治州农业技术推广中心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（1）编制本地区农业技术推广工作规划、计划并组织实施；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（2）负责新型农业技术推广的引进、试验、示范和推广工作，对适应本地区的农业技术进行试验示范，研究开发，形成可直接用于生产的农业新技术；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（3）负责农业技术推广新成果、新技术咨询服务，专业技术培训、宣传普及和和推荐等工作；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（4）承担农业部门和上级推广机构下达的农业技术推广任务；参与并检查、指导农业技术推广工作；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（5）承担自治区、自治州科技兴农实用技术推广项目；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Segoe UI" w:hAnsi="Segoe UI" w:cs="Segoe UI"/>
          <w:color w:val="414141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（6）负责全州农业技术推广工作，并受理申报相关农民设施农业培训等科技培训任务；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（7）完成自治州人民政府和自治州农办、农业局、科技局交办的工作任务。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hd w:val="clear" w:color="auto" w:fill="FFFFFF"/>
        <w:spacing w:before="100" w:after="100" w:line="560" w:lineRule="atLeast"/>
        <w:ind w:firstLine="640"/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站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办公室、推广站、园艺站、化验室、土肥站、植保站、植物检疫站、农业试验站。</w:t>
      </w:r>
    </w:p>
    <w:p>
      <w:pPr>
        <w:shd w:val="clear" w:color="auto" w:fill="FFFFFF"/>
        <w:spacing w:before="100" w:after="100" w:line="560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编制数84人，实有人数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148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人，其中：在职7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人，减少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退休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增加1人;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eastAsia="zh-CN"/>
        </w:rPr>
        <w:t>离休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  <w:lang w:val="en-US" w:eastAsia="zh-CN"/>
        </w:rPr>
        <w:t>0人，增加或减少0人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spacing w:before="100" w:after="100" w:line="560" w:lineRule="atLeast"/>
        <w:ind w:firstLine="640"/>
        <w:rPr>
          <w:rFonts w:hint="eastAsia" w:ascii="仿宋_GB2312" w:hAnsi="Segoe UI" w:eastAsia="仿宋_GB2312" w:cs="Segoe UI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2019年</w:t>
      </w:r>
      <w:r>
        <w:rPr>
          <w:rFonts w:hint="eastAsia" w:ascii="黑体" w:hAnsi="黑体" w:eastAsia="黑体"/>
          <w:kern w:val="0"/>
          <w:sz w:val="32"/>
          <w:szCs w:val="32"/>
        </w:rPr>
        <w:t>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ind w:left="240" w:hanging="240" w:hangingChars="1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单位：万元</w:t>
      </w:r>
    </w:p>
    <w:tbl>
      <w:tblPr>
        <w:tblStyle w:val="7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45"/>
        <w:gridCol w:w="295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1152.71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1152.71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1233.04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1152.71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90.73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 总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1243.44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1243.44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单位：万元</w:t>
      </w:r>
    </w:p>
    <w:tbl>
      <w:tblPr>
        <w:tblStyle w:val="7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703"/>
        <w:gridCol w:w="735"/>
        <w:gridCol w:w="780"/>
        <w:gridCol w:w="382"/>
        <w:gridCol w:w="610"/>
        <w:gridCol w:w="506"/>
        <w:gridCol w:w="565"/>
        <w:gridCol w:w="595"/>
        <w:gridCol w:w="447"/>
        <w:gridCol w:w="625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事业运行（农业）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1243.44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1152.71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1243.44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1152.71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90.73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Style w:val="7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其他科学技术管理事务支出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事业运行（农业）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1,157.93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1,080.04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科技成果转化与扩散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农业资源保护修复与利用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1243.44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1080.04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163.40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ind w:firstLine="2570" w:firstLineChars="8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7"/>
        <w:tblW w:w="9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332"/>
        <w:gridCol w:w="2721"/>
        <w:gridCol w:w="994"/>
        <w:gridCol w:w="923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00" w:leftChars="380" w:hanging="602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  目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1,152.71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1,152.71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1152.71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1,152.71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1,152.71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00"/>
        <w:gridCol w:w="417"/>
        <w:gridCol w:w="2510"/>
        <w:gridCol w:w="168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克孜勒苏柯尔克孜自治州农业技术推广中心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事业运行（农业）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1,152.71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1,152.71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22"/>
        <w:gridCol w:w="2746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克孜勒苏柯尔克孜自治州农业技术推广中心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1,045.24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30.79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25"/>
        <w:gridCol w:w="420"/>
        <w:gridCol w:w="435"/>
        <w:gridCol w:w="1020"/>
        <w:gridCol w:w="1695"/>
        <w:gridCol w:w="675"/>
        <w:gridCol w:w="390"/>
        <w:gridCol w:w="705"/>
        <w:gridCol w:w="720"/>
        <w:gridCol w:w="330"/>
        <w:gridCol w:w="450"/>
        <w:gridCol w:w="360"/>
        <w:gridCol w:w="600"/>
        <w:gridCol w:w="319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克孜勒苏柯尔克孜自治州农业技术推广中心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事业运行（农业）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事业运行（农业）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群众工作人员补助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62.68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62.68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76.68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62.68</w:t>
            </w:r>
          </w:p>
        </w:tc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560" w:firstLineChars="20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 w:start="2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备注：克孜勒苏柯尔克孜自治州农业技术推广中心2019年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left="0" w:leftChars="0" w:right="0" w:rightChars="0"/>
        <w:jc w:val="center"/>
        <w:textAlignment w:val="auto"/>
        <w:outlineLvl w:val="1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2019年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1243.44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1152.71万元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支出预算包括：科学技术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、农林水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1233.04万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1243.44万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1152.71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2018年调整基本工资、中央艰边贴，引起2019年预算中人员经费及公用经费相应增加。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防灾救灾项目已完成，开展盐碱地改良、农业技术推广与扩散、柔性引才等项目引起结余资金减少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农业技术推广中心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1243.44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1080.04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3.86%，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基本支出预算中包括人员经费、公用经费、单位上年结转（不包含国库支付额度结余）；2019年基本支出预算中包括人员经费、公用经费以及上年结转的工会会费、福利费，不包括项目结转资金，从而引起基本支出有所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81.07%，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2018年项目支出预算中只有群众工作经费和群众工作人员补助经费；2019年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项目支出预算中包括防灾救灾、耕地质量与保护、盐碱地改良、盐碱地品种选育、柔性引才、农业技术推广、科技成果转化与扩散年末结转资金，以及群众工作经费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群众工作人员补助全部在项目支出中反映，从而引起项目支出增长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1152.71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支出预算包括：农林水支出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1152.71万元，主要用于工资福利支出、商品和服务支出、对个人和家庭的补助、资本性支出等方面的支出。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1076.03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2018年执行数中包括人员经费、公用经费、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群众工作经费和群众工作人员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、绩效奖励工资、综合治理奖励工资、中央艰边贴补发工资；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2019年预算中包括人员经费、公用经费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1152.71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1152.71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2018年执行数中反映人员经费、公用经费、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群众工作经费和群众工作人员补助、绩效奖励工资、综合治理奖励工资、防灾救灾、耕地质量保护、科技成果转化等；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2019年预算中反映人员经费、公用经费、群众工作经费及群众工作人员补助。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1076.03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1045.24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307.99万元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396.79万元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25.67万元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125.61万元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46.17万元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情况一：项目支出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聚集总目标，实施群众工作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办公费6万元、活动费7万元、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情况二：对个人补贴的项目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聚焦总目标，开展群众工作相关人员生活补助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62.68万元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生活补助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62.68万元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财政拨款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群众工作人员23人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0.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18元/月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12月=49.68万元；支教工作人员5人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0.26元/月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10月=13万元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开展群众工作及支教工作的工作人员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按月发放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每月按照群众工作队的考勤汇表，该汇总表由考勤人员、工作队队长、第一书记签字后，财务室根据汇总表编制发放表并经财务主管领导签字后方可发放。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基层开展群众工作的工作人员；为农民增收创收提供帮助，维护社会的长治久安。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关于</w:t>
      </w:r>
      <w:r>
        <w:rPr>
          <w:rFonts w:hint="eastAsia" w:ascii="黑体" w:hAnsi="黑体" w:eastAsia="黑体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黑体" w:eastAsia="黑体"/>
          <w:sz w:val="32"/>
          <w:szCs w:val="32"/>
        </w:rPr>
        <w:t>一般公共预算“三公”经费预算情况说明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0万元，主要原因是：2018、2019年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2018、2019年未安排预算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单位严格执行中央“八项”规定，严格控制公务用车运行费的支出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单位严格执行中央“八项”规定，严格控制业务招待费的支出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机关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0家行政单位、0家参公管理事业单位和1家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30.79万元，比上年预算增加0.95万元，增长3.18%，主要原因是：因调整岗位工资、高定工资和中央艰边贴，引起福利费和工会会费相应提高。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2019年</w:t>
      </w:r>
      <w:r>
        <w:rPr>
          <w:rFonts w:hint="eastAsia" w:ascii="仿宋_GB2312" w:hAnsi="仿宋_GB2312" w:eastAsia="仿宋_GB2312"/>
          <w:sz w:val="32"/>
        </w:rPr>
        <w:t>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129.31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7"/>
        <w:tblW w:w="83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01"/>
        <w:gridCol w:w="726"/>
        <w:gridCol w:w="947"/>
        <w:gridCol w:w="513"/>
        <w:gridCol w:w="428"/>
        <w:gridCol w:w="931"/>
        <w:gridCol w:w="1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克孜勒苏柯尔克孜自治州农业技术推广中心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3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全部用于群众工作，为群众开展活动及解决困难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14万元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全部用于群众工作，为群众开展活动及解决困难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按照要求2019年将完成该项目工作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每月开展有意义培训或文体活动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开展培训、文体活动不少于12次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通过群众喜闻乐见方式进行培训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村民种植、养殖技术有较大提高，且思想觉悟有较大提升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为村民解决困难诉求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尽可能的办村上解决困难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群众种植、养殖技术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通过技术的学习从而提高经经济收入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协助工作队对村基础设施（水利、道路等）建设，加强业余夜校的培训力度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村民思想较大转变，社会风气有较大转变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村级基础设施的建设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使村村容村貌有较大幅度的改善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村里基础设施的建设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村容村貌额较大改变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群众满意程度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得到群众一致好评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7"/>
        <w:tblW w:w="8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07"/>
        <w:gridCol w:w="781"/>
        <w:gridCol w:w="1020"/>
        <w:gridCol w:w="552"/>
        <w:gridCol w:w="460"/>
        <w:gridCol w:w="1003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克孜勒苏柯尔克孜自治州农业技术推广中心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群众工作人员补助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62.68万元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62.68万元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3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全部用于基层开展群众工作人员的生活补助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62.68万元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全部用于基层群众工作人员的生活补助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2019年完成该项目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按照项目要求，每月按时足额发放到工作人员卡中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按照项目要求，每月按时足额发放到工作人员卡中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按照项目要求，每月按时足额发放到工作人员卡中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按照项目要求，每月按时足额发放到工作人员卡中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培训农民文化水平、提高农民种植、养殖水平，解决困难诉求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提高农民经济水平，解决群众困难诉求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培训农民文化水平、提高农民种植、养殖水平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提高农民经济水平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培训农民文化水平、提高农民种植、养殖水平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提高农民经济水平，解决群众困难诉求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保证村容村貌整洁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保证村容村貌整洁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群众非常满意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非常满意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无说明事项。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克孜勒苏柯尔克孜自治州农业技术推广中心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52rt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0"/>
        <w:tab w:val="right" w:pos="9020"/>
      </w:tabs>
      <w:jc w:val="lef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N3+CEy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GNXO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wW1LEBAABOAwAADgAAAGRycy9lMm9Eb2MueG1srVPBbtswDL0P2D8I&#10;ui9yAmw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ofBbU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icY1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uJwyO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BhFi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SElbEBAABOAwAADgAAAGRycy9lMm9Eb2MueG1srVPBbtswDL0P2D8I&#10;ui9yMmA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cdF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elIS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FC6ABD"/>
    <w:rsid w:val="013846DC"/>
    <w:rsid w:val="0217574B"/>
    <w:rsid w:val="02D77AA7"/>
    <w:rsid w:val="041422B7"/>
    <w:rsid w:val="0639663C"/>
    <w:rsid w:val="06CC7A9F"/>
    <w:rsid w:val="06FF35F2"/>
    <w:rsid w:val="084C5D66"/>
    <w:rsid w:val="09366BE1"/>
    <w:rsid w:val="0C8C60CF"/>
    <w:rsid w:val="0DA91F22"/>
    <w:rsid w:val="11A101D9"/>
    <w:rsid w:val="19774F15"/>
    <w:rsid w:val="1A1A38D6"/>
    <w:rsid w:val="1AA365E6"/>
    <w:rsid w:val="1CDF4737"/>
    <w:rsid w:val="1DB92521"/>
    <w:rsid w:val="22186259"/>
    <w:rsid w:val="23370064"/>
    <w:rsid w:val="23760196"/>
    <w:rsid w:val="267A5177"/>
    <w:rsid w:val="26CB6ED4"/>
    <w:rsid w:val="270B4D13"/>
    <w:rsid w:val="29000A2B"/>
    <w:rsid w:val="29247DFC"/>
    <w:rsid w:val="2A6D49F3"/>
    <w:rsid w:val="2B7B758D"/>
    <w:rsid w:val="2BAF6A7D"/>
    <w:rsid w:val="2D4E5D5D"/>
    <w:rsid w:val="313B0512"/>
    <w:rsid w:val="34E53822"/>
    <w:rsid w:val="3B244F1B"/>
    <w:rsid w:val="3D63082D"/>
    <w:rsid w:val="3E7666BD"/>
    <w:rsid w:val="40A63BE9"/>
    <w:rsid w:val="46331E24"/>
    <w:rsid w:val="48657FD4"/>
    <w:rsid w:val="4A7E678A"/>
    <w:rsid w:val="4A95166C"/>
    <w:rsid w:val="4C6324D9"/>
    <w:rsid w:val="4E0C3148"/>
    <w:rsid w:val="507B149E"/>
    <w:rsid w:val="52D56666"/>
    <w:rsid w:val="544A3187"/>
    <w:rsid w:val="547239F6"/>
    <w:rsid w:val="585C4B1F"/>
    <w:rsid w:val="58C317A5"/>
    <w:rsid w:val="5B6F0C82"/>
    <w:rsid w:val="5E4F1959"/>
    <w:rsid w:val="5FA0312C"/>
    <w:rsid w:val="621939CA"/>
    <w:rsid w:val="6348727D"/>
    <w:rsid w:val="663E1943"/>
    <w:rsid w:val="684E4258"/>
    <w:rsid w:val="69D53C47"/>
    <w:rsid w:val="742A464C"/>
    <w:rsid w:val="758E2730"/>
    <w:rsid w:val="75C9677A"/>
    <w:rsid w:val="770D7E59"/>
    <w:rsid w:val="785D27EA"/>
    <w:rsid w:val="78B32052"/>
    <w:rsid w:val="79612CF6"/>
    <w:rsid w:val="7D091644"/>
    <w:rsid w:val="7DDB7BD1"/>
    <w:rsid w:val="7DE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7430</Words>
  <Characters>8721</Characters>
  <Lines>74</Lines>
  <Paragraphs>21</Paragraphs>
  <TotalTime>22</TotalTime>
  <ScaleCrop>false</ScaleCrop>
  <LinksUpToDate>false</LinksUpToDate>
  <CharactersWithSpaces>9586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2019-02-05T02:36:00Z</cp:lastPrinted>
  <dcterms:modified xsi:type="dcterms:W3CDTF">2019-06-25T05:38:40Z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