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发展和改革委员会</w:t>
      </w:r>
      <w:r>
        <w:rPr>
          <w:rFonts w:hint="eastAsia" w:ascii="方正小标宋_GBK" w:hAnsi="宋体" w:eastAsia="方正小标宋_GBK"/>
          <w:kern w:val="0"/>
          <w:sz w:val="44"/>
          <w:szCs w:val="44"/>
          <w:lang w:val="en-US" w:eastAsia="zh-CN"/>
        </w:rPr>
        <w:t>2019</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keepNext w:val="0"/>
        <w:keepLines w:val="0"/>
        <w:pageBreakBefore w:val="0"/>
        <w:widowControl/>
        <w:kinsoku/>
        <w:wordWrap/>
        <w:overflowPunct/>
        <w:topLinePunct w:val="0"/>
        <w:autoSpaceDE/>
        <w:autoSpaceDN/>
        <w:bidi w:val="0"/>
        <w:adjustRightInd/>
        <w:snapToGrid/>
        <w:spacing w:line="400" w:lineRule="exact"/>
        <w:jc w:val="both"/>
        <w:textAlignment w:val="auto"/>
        <w:outlineLvl w:val="1"/>
        <w:rPr>
          <w:rFonts w:hint="eastAsia" w:ascii="黑体" w:hAnsi="黑体" w:eastAsia="黑体"/>
          <w:kern w:val="0"/>
          <w:sz w:val="36"/>
          <w:szCs w:val="32"/>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400" w:lineRule="exact"/>
        <w:ind w:firstLine="900" w:firstLineChars="250"/>
        <w:jc w:val="center"/>
        <w:textAlignment w:val="auto"/>
        <w:outlineLvl w:val="1"/>
      </w:pPr>
      <w:r>
        <w:rPr>
          <w:rFonts w:hint="eastAsia" w:ascii="黑体" w:hAnsi="黑体" w:eastAsia="黑体"/>
          <w:kern w:val="0"/>
          <w:sz w:val="36"/>
          <w:szCs w:val="32"/>
        </w:rPr>
        <w:t>目 录</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w:t>
      </w:r>
      <w:r>
        <w:rPr>
          <w:rFonts w:hint="eastAsia" w:ascii="仿宋_GB2312" w:hAnsi="宋体" w:eastAsia="仿宋_GB2312"/>
          <w:b/>
          <w:kern w:val="0"/>
          <w:sz w:val="32"/>
          <w:szCs w:val="32"/>
          <w:lang w:eastAsia="zh-CN"/>
        </w:rPr>
        <w:t>克州发展和改革委员会</w:t>
      </w:r>
      <w:r>
        <w:rPr>
          <w:rFonts w:hint="eastAsia" w:ascii="仿宋_GB2312" w:hAnsi="宋体" w:eastAsia="仿宋_GB2312"/>
          <w:b/>
          <w:kern w:val="0"/>
          <w:sz w:val="32"/>
          <w:szCs w:val="32"/>
        </w:rPr>
        <w:t>单位概况</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2019</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预算公开表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2019</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部门</w:t>
      </w:r>
      <w:r>
        <w:rPr>
          <w:rFonts w:hint="eastAsia" w:ascii="仿宋_GB2312" w:hAnsi="宋体" w:eastAsia="仿宋_GB2312"/>
          <w:b/>
          <w:kern w:val="0"/>
          <w:sz w:val="32"/>
          <w:szCs w:val="32"/>
        </w:rPr>
        <w:t>预算情况说明</w:t>
      </w:r>
    </w:p>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outlineLvl w:val="1"/>
        <w:rPr>
          <w:rFonts w:ascii="仿宋_GB2312" w:hAnsi="宋体" w:eastAsia="仿宋_GB2312"/>
          <w:spacing w:val="-20"/>
          <w:kern w:val="0"/>
          <w:sz w:val="32"/>
          <w:szCs w:val="32"/>
        </w:rPr>
      </w:pPr>
      <w:r>
        <w:rPr>
          <w:rFonts w:hint="eastAsia" w:ascii="仿宋_GB2312" w:hAnsi="宋体" w:eastAsia="仿宋_GB2312"/>
          <w:spacing w:val="-20"/>
          <w:kern w:val="0"/>
          <w:sz w:val="32"/>
          <w:szCs w:val="32"/>
        </w:rPr>
        <w:t>一、关于</w:t>
      </w:r>
      <w:r>
        <w:rPr>
          <w:rFonts w:hint="eastAsia" w:ascii="仿宋_GB2312" w:hAnsi="宋体" w:eastAsia="仿宋_GB2312"/>
          <w:spacing w:val="-20"/>
          <w:kern w:val="0"/>
          <w:sz w:val="32"/>
          <w:szCs w:val="32"/>
          <w:lang w:eastAsia="zh-CN"/>
        </w:rPr>
        <w:t>克州发展和改革委员会</w:t>
      </w:r>
      <w:r>
        <w:rPr>
          <w:rFonts w:hint="eastAsia" w:ascii="仿宋_GB2312" w:hAnsi="宋体" w:eastAsia="仿宋_GB2312"/>
          <w:spacing w:val="-20"/>
          <w:kern w:val="0"/>
          <w:sz w:val="32"/>
          <w:szCs w:val="32"/>
          <w:lang w:val="en-US" w:eastAsia="zh-CN"/>
        </w:rPr>
        <w:t>2019</w:t>
      </w:r>
      <w:r>
        <w:rPr>
          <w:rFonts w:hint="eastAsia" w:ascii="仿宋_GB2312" w:hAnsi="宋体" w:eastAsia="仿宋_GB2312"/>
          <w:spacing w:val="-20"/>
          <w:kern w:val="0"/>
          <w:sz w:val="32"/>
          <w:szCs w:val="32"/>
        </w:rPr>
        <w:t>年收支预算情况的总体说明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年收入预算情况说明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年支出预算情况说明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bCs/>
          <w:kern w:val="0"/>
          <w:sz w:val="32"/>
          <w:szCs w:val="32"/>
        </w:rPr>
        <w:t>年财政拨款收支预算情况的总体说明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年一般公共预算当年拨款情况说明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年一般公共预算基本支出情况说明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年项目支出情况说明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年一般公共预算“三公”经费预算情况说明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克州发展和改革委员会</w:t>
      </w:r>
      <w:r>
        <w:rPr>
          <w:rFonts w:hint="eastAsia" w:ascii="仿宋_GB2312" w:hAnsi="宋体" w:eastAsia="仿宋_GB2312"/>
          <w:kern w:val="0"/>
          <w:sz w:val="32"/>
          <w:szCs w:val="32"/>
          <w:lang w:val="en-US" w:eastAsia="zh-CN"/>
        </w:rPr>
        <w:t>2019</w:t>
      </w:r>
      <w:r>
        <w:rPr>
          <w:rFonts w:hint="eastAsia" w:ascii="仿宋_GB2312" w:hAnsi="宋体" w:eastAsia="仿宋_GB2312"/>
          <w:kern w:val="0"/>
          <w:sz w:val="32"/>
          <w:szCs w:val="32"/>
        </w:rPr>
        <w:t>年政府性基金预算拨款情况说明</w:t>
      </w:r>
    </w:p>
    <w:p>
      <w:pPr>
        <w:keepNext w:val="0"/>
        <w:keepLines w:val="0"/>
        <w:pageBreakBefore w:val="0"/>
        <w:widowControl/>
        <w:kinsoku/>
        <w:wordWrap/>
        <w:overflowPunct/>
        <w:topLinePunct w:val="0"/>
        <w:autoSpaceDE/>
        <w:autoSpaceDN/>
        <w:bidi w:val="0"/>
        <w:adjustRightInd/>
        <w:snapToGrid/>
        <w:spacing w:line="400" w:lineRule="exact"/>
        <w:ind w:firstLine="640" w:firstLineChars="200"/>
        <w:textAlignment w:val="auto"/>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keepNext w:val="0"/>
        <w:keepLines w:val="0"/>
        <w:pageBreakBefore w:val="0"/>
        <w:widowControl/>
        <w:kinsoku/>
        <w:wordWrap/>
        <w:overflowPunct/>
        <w:topLinePunct w:val="0"/>
        <w:autoSpaceDE/>
        <w:autoSpaceDN/>
        <w:bidi w:val="0"/>
        <w:adjustRightInd/>
        <w:snapToGrid/>
        <w:spacing w:line="400" w:lineRule="exact"/>
        <w:ind w:firstLine="643" w:firstLineChars="200"/>
        <w:textAlignment w:val="auto"/>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克州发展和改革委员会</w:t>
      </w:r>
      <w:r>
        <w:rPr>
          <w:rFonts w:hint="eastAsia" w:ascii="黑体" w:hAnsi="黑体" w:eastAsia="黑体"/>
          <w:kern w:val="0"/>
          <w:sz w:val="32"/>
          <w:szCs w:val="32"/>
        </w:rPr>
        <w:t>概况</w:t>
      </w:r>
    </w:p>
    <w:p>
      <w:pPr>
        <w:widowControl/>
        <w:jc w:val="center"/>
        <w:outlineLvl w:val="1"/>
        <w:rPr>
          <w:rFonts w:ascii="宋体" w:hAnsi="宋体"/>
          <w:b/>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eastAsia" w:ascii="黑体" w:hAnsi="黑体" w:eastAsia="黑体" w:cs="宋体"/>
          <w:bCs/>
          <w:kern w:val="0"/>
          <w:sz w:val="32"/>
          <w:szCs w:val="32"/>
        </w:rPr>
      </w:pPr>
      <w:r>
        <w:rPr>
          <w:rFonts w:hint="eastAsia" w:ascii="黑体" w:hAnsi="黑体" w:eastAsia="黑体" w:cs="宋体"/>
          <w:bCs/>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eastAsia" w:eastAsia="仿宋_GB2312" w:cs="Times New Roman"/>
          <w:kern w:val="2"/>
          <w:sz w:val="32"/>
          <w:szCs w:val="32"/>
          <w:lang w:eastAsia="zh-CN"/>
        </w:rPr>
      </w:pPr>
      <w:r>
        <w:rPr>
          <w:rFonts w:hint="eastAsia" w:eastAsia="仿宋_GB2312" w:cs="Times New Roman"/>
          <w:kern w:val="2"/>
          <w:sz w:val="32"/>
          <w:szCs w:val="32"/>
          <w:lang w:eastAsia="zh-CN"/>
        </w:rPr>
        <w:t>克州发展和改革委员会主要职能为：</w:t>
      </w: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研究提出自治州国民经济和社会发展战略、中长期规划，贯彻执行国家和自治区国民经济和社会发展方针、政策；统筹协调自治州经济社会发展，研究分析州内外经济形势，提出国民经济发展、价格总水平调控和优化重大经济结构的目标、政策，提出综合运用各种经济手段和政策的建议；组织研究、协调实施重点专项规划，衔接、平衡各县（市）及主要行业的规划；受自治州人民政府委托向自治州人大提交国民经济和社会发展计划的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2、</w:t>
      </w:r>
      <w:r>
        <w:rPr>
          <w:rFonts w:hint="default" w:ascii="Times New Roman" w:hAnsi="Times New Roman" w:eastAsia="仿宋_GB2312" w:cs="Times New Roman"/>
          <w:kern w:val="2"/>
          <w:sz w:val="32"/>
          <w:szCs w:val="32"/>
        </w:rPr>
        <w:t>负责监测宏观经济和社会发展态势，承担预测预警和信息引导的责任；提出促进自治州经济高质量发展的政策建议；研究涉及经济安全及总体产业安全等重要问题并提出政策措施和建议。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3、</w:t>
      </w:r>
      <w:r>
        <w:rPr>
          <w:rFonts w:hint="default" w:ascii="Times New Roman" w:hAnsi="Times New Roman" w:eastAsia="仿宋_GB2312" w:cs="Times New Roman"/>
          <w:kern w:val="2"/>
          <w:sz w:val="32"/>
          <w:szCs w:val="32"/>
        </w:rPr>
        <w:t>负责汇总分析自治州财政、金融、产业、价格政策等方面的情况和执行效果，提出政策建议；组织实施价格政策；制定和调整政府管理的重要商品价格、服务价格和收费项目、标准；发布重大价格信息，规范市场价格行为等。</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4、</w:t>
      </w:r>
      <w:r>
        <w:rPr>
          <w:rFonts w:hint="default" w:ascii="Times New Roman" w:hAnsi="Times New Roman" w:eastAsia="仿宋_GB2312" w:cs="Times New Roman"/>
          <w:kern w:val="2"/>
          <w:sz w:val="32"/>
          <w:szCs w:val="32"/>
        </w:rPr>
        <w:t>承担经济体制改革的责任，研究自治州经济体制改革和对外开放的重大问题，组织拟订自治州综合性经济体制改革方案，协调有关专项经济体制改革方案，指导经济体制改革试点工作；组织制定区域经济协调发展规划和政策；</w:t>
      </w:r>
      <w:r>
        <w:rPr>
          <w:rFonts w:hint="default" w:ascii="Times New Roman" w:hAnsi="Times New Roman" w:eastAsia="仿宋_GB2312" w:cs="Times New Roman"/>
          <w:color w:val="000000" w:themeColor="text1"/>
          <w:kern w:val="2"/>
          <w:sz w:val="32"/>
          <w:szCs w:val="32"/>
          <w14:textFill>
            <w14:solidFill>
              <w14:schemeClr w14:val="tx1"/>
            </w14:solidFill>
          </w14:textFill>
        </w:rPr>
        <w:t>负责自治州对口援疆有关综合协调工作；</w:t>
      </w:r>
      <w:r>
        <w:rPr>
          <w:rFonts w:hint="default" w:ascii="Times New Roman" w:hAnsi="Times New Roman" w:eastAsia="仿宋_GB2312" w:cs="Times New Roman"/>
          <w:kern w:val="2"/>
          <w:sz w:val="32"/>
          <w:szCs w:val="32"/>
        </w:rPr>
        <w:t>负责自治州推进实施“一带一路”建设的日常组织协调工作；推进西部大开发战略和重大政策的实施；推进自治州城镇化建设。</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5、</w:t>
      </w:r>
      <w:r>
        <w:rPr>
          <w:rFonts w:hint="default" w:ascii="Times New Roman" w:hAnsi="Times New Roman" w:eastAsia="仿宋_GB2312" w:cs="Times New Roman"/>
          <w:kern w:val="2"/>
          <w:sz w:val="32"/>
          <w:szCs w:val="32"/>
        </w:rPr>
        <w:t>承担规划重大建设项目和生产力布局的职责，研究提出自治州全社会固定资产投资总规模和投资结构的目标政策及措施，规划重大项目和生产力布局；衔接平衡需要中央财政、自治区财政投资和涉及重大建设项目的专项规划；编制、下达自治州固定资产投资计划、重点项目建设计划和前期项目计划；负责自治州重大项目的管理和组织协调；安排自治州财政预算内建设资金，引导社会投资方向；按照管理权限，负责审核上报、审批、核准、备案固定资产投资项目，审查、审批项目初步设计；组织实施自治州固定资产投资项目节能评估审查工作；</w:t>
      </w:r>
      <w:r>
        <w:rPr>
          <w:rFonts w:hint="default" w:ascii="Times New Roman" w:hAnsi="Times New Roman" w:eastAsia="仿宋_GB2312" w:cs="Times New Roman"/>
          <w:spacing w:val="-6"/>
          <w:kern w:val="2"/>
          <w:sz w:val="32"/>
          <w:szCs w:val="32"/>
        </w:rPr>
        <w:t>指导和协调自治州招投标工作；会同有关部门拟定自治州招投标配套法规、综合性政策；负责重大项目招投标活动有关监督管理。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6、</w:t>
      </w:r>
      <w:r>
        <w:rPr>
          <w:rFonts w:hint="default" w:ascii="Times New Roman" w:hAnsi="Times New Roman" w:eastAsia="仿宋_GB2312" w:cs="Times New Roman"/>
          <w:kern w:val="2"/>
          <w:sz w:val="32"/>
          <w:szCs w:val="32"/>
        </w:rPr>
        <w:t>推进产业结构战略性调整和升级。组织拟定综合性产业政策，负责协调第一、二、三产业发展的重大问题，做好与国民经济和社会发展规划、计划的衔接平衡；提出国民经济重要产业的发展战略和规划，组织审核上报、审批专项规划；研究农业和农村经济社会发展的有关重大问题，衔接农村专项规划和政策；拟定并实施以工代赈规划和计划；研究提出能源发展战略、规划；组织拟定高技术产业发展、产业技术进步的战略、规划和政策，推动高技术产业化发展；规划、指导服务业的建设与发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7、</w:t>
      </w:r>
      <w:r>
        <w:rPr>
          <w:rFonts w:hint="default" w:ascii="Times New Roman" w:hAnsi="Times New Roman" w:eastAsia="仿宋_GB2312" w:cs="Times New Roman"/>
          <w:kern w:val="2"/>
          <w:sz w:val="32"/>
          <w:szCs w:val="32"/>
        </w:rPr>
        <w:t>研究提出利用外资和境外投资的战略、总量平衡和结构优化的目标和政策；监测国外资金利用和境外投资情况以及自治州外债结构优化状况；按照管理权限，负责审核上报、审批、核准、备案国外贷款项目、外商直接投资项目和境外投资项目；会同有关部门协调和审查利用重大内外资项目；会同有关部门做好招商引资工作；会同有关部门指导、协调、审核</w:t>
      </w:r>
      <w:r>
        <w:rPr>
          <w:rFonts w:hint="default" w:ascii="Times New Roman" w:hAnsi="Times New Roman" w:eastAsia="仿宋_GB2312" w:cs="Times New Roman"/>
          <w:spacing w:val="-6"/>
          <w:kern w:val="2"/>
          <w:sz w:val="32"/>
          <w:szCs w:val="32"/>
        </w:rPr>
        <w:t>自治州各类开发区等特殊经济区和开放地区的规划、布局和设立。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8、</w:t>
      </w:r>
      <w:r>
        <w:rPr>
          <w:rFonts w:hint="default" w:ascii="Times New Roman" w:hAnsi="Times New Roman" w:eastAsia="仿宋_GB2312" w:cs="Times New Roman"/>
          <w:kern w:val="2"/>
          <w:sz w:val="32"/>
          <w:szCs w:val="32"/>
        </w:rPr>
        <w:t>承担重要商品总量平衡和宏观调控的责任，研究分析国内外市场供求状况，编制自治州重要农产品、工业品和原材料进出口总量计划并监督执行。</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9、</w:t>
      </w:r>
      <w:r>
        <w:rPr>
          <w:rFonts w:hint="default" w:ascii="Times New Roman" w:hAnsi="Times New Roman" w:eastAsia="仿宋_GB2312" w:cs="Times New Roman"/>
          <w:kern w:val="2"/>
          <w:sz w:val="32"/>
          <w:szCs w:val="32"/>
        </w:rPr>
        <w:t>负责自治州社会发展与国民经济发展的政策衔接，组织拟定社会发展战略、总体规划，参与拟定人口和计划生育、科学技术、教育、文化、卫生、民政等发展政策，协调自治州社会事业发展的重大问题；研究提出促进就业、消费、调整收入分配、完善社会保障与经济协调发展的政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10</w:t>
      </w:r>
      <w:r>
        <w:rPr>
          <w:rFonts w:hint="default" w:ascii="Times New Roman" w:hAnsi="Times New Roman" w:eastAsia="仿宋_GB2312" w:cs="Times New Roman"/>
          <w:kern w:val="2"/>
          <w:sz w:val="32"/>
          <w:szCs w:val="32"/>
        </w:rPr>
        <w:t>推进可持续发展战略，负责自治州全社会节能综合协调工作，组织拟订发展循环经济、全社会能源资源节约和综合利用规划及政策措施并协调实施。会同有关部门研究提出自治州生态建设、环境保护规划、资源节约综合利用规划和政策；协调生态建设、环保产业和资源节约综合利用的重大问题，综合协调环保产业和清洁生产促进有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11、</w:t>
      </w:r>
      <w:r>
        <w:rPr>
          <w:rFonts w:hint="default" w:ascii="Times New Roman" w:hAnsi="Times New Roman" w:eastAsia="仿宋_GB2312" w:cs="Times New Roman"/>
          <w:kern w:val="2"/>
          <w:sz w:val="32"/>
          <w:szCs w:val="32"/>
        </w:rPr>
        <w:t>贯彻执行国家、自治区粮食和物资储备的方针政策和法律法规，拟订粮食流通、地方储备油和物资储备工作的法规、规章草案和有关政策；研究提出地方储备粮油和物资储备规划储备品种目录的建议；负责编制粮油、棉花、食糖、食盐等物资的储备、轮换和日常管理；承担自治区级生活类救灾物资储备管理及自治州救灾物资储备采购和储备管理工作，落实有关动用计划和指令；负责自治州地方储备粮油行政管理工作，指导和协调地方储备粮油管理，研究提出地方储备粮油总体布局和收购、销售、轮换计划建议；承担粮食监测预警和应急责任，承担粮食安全州长责任制考核的日常工作；承担粮食和物资储备系统军民融合工作；组织实施国家粮食和物资储备仓库管理有关技术标准和规范，指导粮食流通和物资储备承储单位安全生产工作；根据粮食和物资储备总体发展规划，统一负责储备基础设施建设和管理；拟订储备基础设施、粮食流通设施规划并组织实施，管理有关储备基础设施和粮食流通设施国家和自治区投资项目；负责对管理的政府储备、企业储备以及储备政策落实情况和粮食流通进行监督检查，负责粮食收购、储存、运输环节质量安全和原粮卫生的监督管理，组织实施粮食库存检查工作；负责粮食流通行政管理、行业指导，起草粮食行业发展规划，组织实施国家粮食流通和物资储备有关标准、粮食质量标准和技术规范，会同有关部门拟订粮食流通和物资储备有关地方标准和技术规范并监督执行；承担粮食流通的对外合作与交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12、</w:t>
      </w:r>
      <w:r>
        <w:rPr>
          <w:rFonts w:hint="default" w:ascii="Times New Roman" w:hAnsi="Times New Roman" w:eastAsia="仿宋_GB2312" w:cs="Times New Roman"/>
          <w:kern w:val="2"/>
          <w:sz w:val="32"/>
          <w:szCs w:val="32"/>
        </w:rPr>
        <w:t>起草自治州国民经济和社会发展及经济体制改革、对外开放的有关地方性法规和规章。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outlineLvl w:val="9"/>
        <w:rPr>
          <w:rFonts w:hint="default" w:ascii="Times New Roman" w:hAnsi="Times New Roman" w:eastAsia="仿宋_GB2312" w:cs="Times New Roman"/>
          <w:kern w:val="2"/>
          <w:sz w:val="32"/>
          <w:szCs w:val="32"/>
        </w:rPr>
      </w:pPr>
      <w:r>
        <w:rPr>
          <w:rFonts w:hint="eastAsia" w:eastAsia="仿宋_GB2312" w:cs="Times New Roman"/>
          <w:kern w:val="2"/>
          <w:sz w:val="32"/>
          <w:szCs w:val="32"/>
          <w:lang w:val="en-US" w:eastAsia="zh-CN"/>
        </w:rPr>
        <w:t>13、</w:t>
      </w:r>
      <w:r>
        <w:rPr>
          <w:rFonts w:hint="default" w:ascii="Times New Roman" w:hAnsi="Times New Roman" w:eastAsia="仿宋_GB2312" w:cs="Times New Roman"/>
          <w:kern w:val="2"/>
          <w:sz w:val="32"/>
          <w:szCs w:val="32"/>
        </w:rPr>
        <w:t>按照“管行业必须管安全、管业务必须管安全”的要求，对本行业领域安全生产负行业监管（行业主管）职责，组织开展本行业领域安全生产宣传教育、日常监督检查工作。</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Times New Roman" w:hAnsi="Times New Roman" w:eastAsia="仿宋_GB2312" w:cs="Times New Roman"/>
          <w:spacing w:val="-6"/>
          <w:kern w:val="2"/>
          <w:sz w:val="32"/>
          <w:szCs w:val="32"/>
          <w:lang w:val="en-US" w:eastAsia="zh-CN"/>
        </w:rPr>
      </w:pPr>
      <w:r>
        <w:rPr>
          <w:rFonts w:hint="eastAsia" w:eastAsia="仿宋_GB2312" w:cs="Times New Roman"/>
          <w:spacing w:val="-6"/>
          <w:kern w:val="2"/>
          <w:sz w:val="32"/>
          <w:szCs w:val="32"/>
          <w:lang w:val="en-US" w:eastAsia="zh-CN"/>
        </w:rPr>
        <w:t>14、</w:t>
      </w:r>
      <w:r>
        <w:rPr>
          <w:rFonts w:hint="default" w:ascii="Times New Roman" w:hAnsi="Times New Roman" w:eastAsia="仿宋_GB2312" w:cs="Times New Roman"/>
          <w:spacing w:val="-6"/>
          <w:kern w:val="2"/>
          <w:sz w:val="32"/>
          <w:szCs w:val="32"/>
        </w:rPr>
        <w:t>完成自治州党委、自治州人民政府交办的其他任务</w:t>
      </w:r>
      <w:r>
        <w:rPr>
          <w:rFonts w:hint="eastAsia" w:eastAsia="仿宋_GB2312" w:cs="Times New Roman"/>
          <w:spacing w:val="-6"/>
          <w:kern w:val="2"/>
          <w:sz w:val="32"/>
          <w:szCs w:val="32"/>
          <w:lang w:eastAsia="zh-CN"/>
        </w:rPr>
        <w:t>。</w:t>
      </w:r>
    </w:p>
    <w:p>
      <w:pPr>
        <w:pStyle w:val="2"/>
        <w:keepNext w:val="0"/>
        <w:keepLines w:val="0"/>
        <w:pageBreakBefore w:val="0"/>
        <w:kinsoku/>
        <w:wordWrap/>
        <w:overflowPunct/>
        <w:topLinePunct w:val="0"/>
        <w:autoSpaceDE/>
        <w:autoSpaceDN/>
        <w:bidi w:val="0"/>
        <w:adjustRightInd/>
        <w:snapToGrid/>
        <w:spacing w:after="0" w:line="600" w:lineRule="exact"/>
        <w:ind w:left="0" w:leftChars="0"/>
        <w:textAlignment w:val="auto"/>
        <w:rPr>
          <w:rFonts w:hint="eastAsia"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60" w:lineRule="exact"/>
        <w:ind w:firstLine="640"/>
        <w:jc w:val="left"/>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bCs/>
          <w:kern w:val="0"/>
          <w:sz w:val="32"/>
          <w:szCs w:val="32"/>
          <w:lang w:eastAsia="zh-CN"/>
        </w:rPr>
        <w:t>克州发展和改革委员会</w:t>
      </w:r>
      <w:r>
        <w:rPr>
          <w:rFonts w:hint="default" w:ascii="Times New Roman" w:hAnsi="Times New Roman" w:eastAsia="仿宋_GB2312" w:cs="Times New Roman"/>
          <w:bCs/>
          <w:kern w:val="0"/>
          <w:sz w:val="32"/>
          <w:szCs w:val="32"/>
        </w:rPr>
        <w:t>无下属预算单位，下设</w:t>
      </w:r>
      <w:r>
        <w:rPr>
          <w:rFonts w:hint="default" w:ascii="Times New Roman" w:hAnsi="Times New Roman" w:eastAsia="仿宋_GB2312" w:cs="Times New Roman"/>
          <w:bCs/>
          <w:kern w:val="0"/>
          <w:sz w:val="32"/>
          <w:szCs w:val="32"/>
          <w:lang w:val="en-US" w:eastAsia="zh-CN"/>
        </w:rPr>
        <w:t>1</w:t>
      </w:r>
      <w:r>
        <w:rPr>
          <w:rFonts w:hint="eastAsia" w:eastAsia="仿宋_GB2312" w:cs="Times New Roman"/>
          <w:bCs/>
          <w:kern w:val="0"/>
          <w:sz w:val="32"/>
          <w:szCs w:val="32"/>
          <w:lang w:val="en-US" w:eastAsia="zh-CN"/>
        </w:rPr>
        <w:t>1</w:t>
      </w:r>
      <w:r>
        <w:rPr>
          <w:rFonts w:hint="default" w:ascii="Times New Roman" w:hAnsi="Times New Roman" w:eastAsia="仿宋_GB2312" w:cs="Times New Roman"/>
          <w:bCs/>
          <w:kern w:val="0"/>
          <w:sz w:val="32"/>
          <w:szCs w:val="32"/>
        </w:rPr>
        <w:t>个</w:t>
      </w:r>
      <w:r>
        <w:rPr>
          <w:rFonts w:hint="default" w:ascii="Times New Roman" w:hAnsi="Times New Roman" w:eastAsia="仿宋_GB2312" w:cs="Times New Roman"/>
          <w:bCs/>
          <w:kern w:val="0"/>
          <w:sz w:val="32"/>
          <w:szCs w:val="32"/>
          <w:lang w:eastAsia="zh-CN"/>
        </w:rPr>
        <w:t>内设机构</w:t>
      </w:r>
      <w:r>
        <w:rPr>
          <w:rFonts w:hint="default" w:ascii="Times New Roman" w:hAnsi="Times New Roman" w:eastAsia="仿宋_GB2312" w:cs="Times New Roman"/>
          <w:bCs/>
          <w:kern w:val="0"/>
          <w:sz w:val="32"/>
          <w:szCs w:val="32"/>
        </w:rPr>
        <w:t>，分别是：</w:t>
      </w:r>
      <w:r>
        <w:rPr>
          <w:rFonts w:hint="default" w:ascii="Times New Roman" w:hAnsi="Times New Roman" w:eastAsia="仿宋_GB2312" w:cs="Times New Roman"/>
          <w:sz w:val="32"/>
          <w:szCs w:val="32"/>
        </w:rPr>
        <w:t>办公室，综合</w:t>
      </w:r>
      <w:r>
        <w:rPr>
          <w:rFonts w:hint="default" w:ascii="Times New Roman" w:hAnsi="Times New Roman" w:eastAsia="仿宋_GB2312" w:cs="Times New Roman"/>
          <w:sz w:val="32"/>
          <w:szCs w:val="32"/>
          <w:lang w:eastAsia="zh-CN"/>
        </w:rPr>
        <w:t>规划</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（“一带一路”协调推进科）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政策法规和经济体制改革科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固定资产投资科（资源节约和环境保护科）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项目建设管理科（社会发展科）</w:t>
      </w:r>
      <w:r>
        <w:rPr>
          <w:rFonts w:hint="default" w:ascii="Times New Roman" w:hAnsi="Times New Roman" w:eastAsia="仿宋_GB2312" w:cs="Times New Roman"/>
          <w:sz w:val="32"/>
          <w:szCs w:val="32"/>
        </w:rPr>
        <w:t>，产业</w:t>
      </w:r>
      <w:r>
        <w:rPr>
          <w:rFonts w:hint="default" w:ascii="Times New Roman" w:hAnsi="Times New Roman" w:eastAsia="仿宋_GB2312" w:cs="Times New Roman"/>
          <w:sz w:val="32"/>
          <w:szCs w:val="32"/>
          <w:lang w:eastAsia="zh-CN"/>
        </w:rPr>
        <w:t>发展和财经贸易科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地区和农村经济</w:t>
      </w:r>
      <w:r>
        <w:rPr>
          <w:rFonts w:hint="default" w:ascii="Times New Roman" w:hAnsi="Times New Roman" w:eastAsia="仿宋_GB2312" w:cs="Times New Roman"/>
          <w:sz w:val="32"/>
          <w:szCs w:val="32"/>
        </w:rPr>
        <w:t>科，</w:t>
      </w:r>
      <w:r>
        <w:rPr>
          <w:rFonts w:hint="default" w:ascii="Times New Roman" w:hAnsi="Times New Roman" w:eastAsia="仿宋_GB2312" w:cs="Times New Roman"/>
          <w:sz w:val="32"/>
          <w:szCs w:val="32"/>
          <w:lang w:eastAsia="zh-CN"/>
        </w:rPr>
        <w:t>收费价格管理科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煤炭电力科</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油气和可再生能源科</w:t>
      </w:r>
      <w:r>
        <w:rPr>
          <w:rFonts w:hint="default" w:ascii="Times New Roman" w:hAnsi="Times New Roman" w:eastAsia="仿宋_GB2312" w:cs="Times New Roman"/>
          <w:sz w:val="32"/>
          <w:szCs w:val="32"/>
        </w:rPr>
        <w:t>，粮食</w:t>
      </w:r>
      <w:r>
        <w:rPr>
          <w:rFonts w:hint="default" w:ascii="Times New Roman" w:hAnsi="Times New Roman" w:eastAsia="仿宋_GB2312" w:cs="Times New Roman"/>
          <w:sz w:val="32"/>
          <w:szCs w:val="32"/>
          <w:lang w:eastAsia="zh-CN"/>
        </w:rPr>
        <w:t>和物资储备科</w:t>
      </w:r>
      <w:r>
        <w:rPr>
          <w:rFonts w:hint="default" w:ascii="Times New Roman" w:hAnsi="Times New Roman" w:eastAsia="仿宋_GB2312" w:cs="Times New Roman"/>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firstLine="640"/>
        <w:jc w:val="left"/>
        <w:textAlignment w:val="auto"/>
        <w:rPr>
          <w:rFonts w:ascii="仿宋_GB2312" w:hAnsi="宋体" w:eastAsia="仿宋_GB2312" w:cs="宋体"/>
          <w:kern w:val="0"/>
          <w:sz w:val="32"/>
          <w:szCs w:val="32"/>
        </w:rPr>
      </w:pPr>
      <w:r>
        <w:rPr>
          <w:rFonts w:hint="default" w:ascii="Times New Roman" w:hAnsi="Times New Roman" w:eastAsia="仿宋_GB2312" w:cs="Times New Roman"/>
          <w:kern w:val="0"/>
          <w:sz w:val="32"/>
          <w:szCs w:val="32"/>
          <w:lang w:eastAsia="zh-CN"/>
        </w:rPr>
        <w:t>克州</w:t>
      </w:r>
      <w:r>
        <w:rPr>
          <w:rFonts w:hint="eastAsia" w:eastAsia="仿宋_GB2312" w:cs="Times New Roman"/>
          <w:kern w:val="0"/>
          <w:sz w:val="32"/>
          <w:szCs w:val="32"/>
          <w:lang w:eastAsia="zh-CN"/>
        </w:rPr>
        <w:t>发展和改革委员会</w:t>
      </w:r>
      <w:r>
        <w:rPr>
          <w:rFonts w:hint="default" w:ascii="Times New Roman" w:hAnsi="Times New Roman" w:eastAsia="仿宋_GB2312" w:cs="Times New Roman"/>
          <w:kern w:val="0"/>
          <w:sz w:val="32"/>
          <w:szCs w:val="32"/>
        </w:rPr>
        <w:t>编制数</w:t>
      </w:r>
      <w:r>
        <w:rPr>
          <w:rFonts w:hint="default" w:ascii="Times New Roman" w:hAnsi="Times New Roman" w:eastAsia="仿宋_GB2312" w:cs="Times New Roman"/>
          <w:kern w:val="0"/>
          <w:sz w:val="32"/>
          <w:szCs w:val="32"/>
          <w:lang w:eastAsia="zh-CN"/>
        </w:rPr>
        <w:t>为</w:t>
      </w:r>
      <w:r>
        <w:rPr>
          <w:rFonts w:hint="eastAsia" w:eastAsia="仿宋_GB2312" w:cs="Times New Roman"/>
          <w:kern w:val="0"/>
          <w:sz w:val="32"/>
          <w:szCs w:val="32"/>
          <w:lang w:val="en-US" w:eastAsia="zh-CN"/>
        </w:rPr>
        <w:t>64</w:t>
      </w:r>
      <w:r>
        <w:rPr>
          <w:rFonts w:hint="default" w:ascii="Times New Roman" w:hAnsi="Times New Roman" w:eastAsia="仿宋_GB2312" w:cs="Times New Roman"/>
          <w:kern w:val="0"/>
          <w:sz w:val="32"/>
          <w:szCs w:val="32"/>
          <w:lang w:val="en-US" w:eastAsia="zh-CN"/>
        </w:rPr>
        <w:t>名，实有</w:t>
      </w:r>
      <w:r>
        <w:rPr>
          <w:rFonts w:hint="eastAsia" w:ascii="Times New Roman" w:hAnsi="Times New Roman" w:eastAsia="仿宋_GB2312" w:cs="Times New Roman"/>
          <w:kern w:val="0"/>
          <w:sz w:val="32"/>
          <w:szCs w:val="32"/>
          <w:lang w:val="en-US" w:eastAsia="zh-CN"/>
        </w:rPr>
        <w:t>人数</w:t>
      </w:r>
      <w:r>
        <w:rPr>
          <w:rFonts w:hint="default" w:ascii="Times New Roman" w:hAnsi="Times New Roman" w:eastAsia="仿宋_GB2312" w:cs="Times New Roman"/>
          <w:kern w:val="0"/>
          <w:sz w:val="32"/>
          <w:szCs w:val="32"/>
          <w:lang w:val="en-US" w:eastAsia="zh-CN"/>
        </w:rPr>
        <w:t>3</w:t>
      </w:r>
      <w:r>
        <w:rPr>
          <w:rFonts w:hint="eastAsia"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人</w:t>
      </w:r>
      <w:r>
        <w:rPr>
          <w:rFonts w:hint="eastAsia" w:eastAsia="仿宋_GB2312" w:cs="Times New Roman"/>
          <w:kern w:val="0"/>
          <w:sz w:val="32"/>
          <w:szCs w:val="32"/>
          <w:lang w:eastAsia="zh-CN"/>
        </w:rPr>
        <w:t>，其中在职</w:t>
      </w:r>
      <w:r>
        <w:rPr>
          <w:rFonts w:hint="eastAsia" w:eastAsia="仿宋_GB2312" w:cs="Times New Roman"/>
          <w:kern w:val="0"/>
          <w:sz w:val="32"/>
          <w:szCs w:val="32"/>
          <w:lang w:val="en-US" w:eastAsia="zh-CN"/>
        </w:rPr>
        <w:t>35人，增加1人</w:t>
      </w:r>
      <w:r>
        <w:rPr>
          <w:rFonts w:hint="eastAsia" w:eastAsia="仿宋_GB2312" w:cs="Times New Roman"/>
          <w:kern w:val="0"/>
          <w:sz w:val="32"/>
          <w:szCs w:val="32"/>
          <w:lang w:eastAsia="zh-CN"/>
        </w:rPr>
        <w:t>；</w:t>
      </w:r>
      <w:r>
        <w:rPr>
          <w:rFonts w:hint="default" w:ascii="Times New Roman" w:hAnsi="Times New Roman" w:eastAsia="仿宋_GB2312" w:cs="Times New Roman"/>
          <w:kern w:val="0"/>
          <w:sz w:val="32"/>
          <w:szCs w:val="32"/>
        </w:rPr>
        <w:t>退休</w:t>
      </w:r>
      <w:r>
        <w:rPr>
          <w:rFonts w:hint="default" w:ascii="Times New Roman" w:hAnsi="Times New Roman" w:eastAsia="仿宋_GB2312" w:cs="Times New Roman"/>
          <w:kern w:val="0"/>
          <w:sz w:val="32"/>
          <w:szCs w:val="32"/>
          <w:lang w:eastAsia="zh-CN"/>
        </w:rPr>
        <w:t>干部</w:t>
      </w:r>
      <w:r>
        <w:rPr>
          <w:rFonts w:hint="eastAsia" w:eastAsia="仿宋_GB2312" w:cs="Times New Roman"/>
          <w:kern w:val="0"/>
          <w:sz w:val="32"/>
          <w:szCs w:val="32"/>
          <w:lang w:val="en-US" w:eastAsia="zh-CN"/>
        </w:rPr>
        <w:t>44</w:t>
      </w:r>
      <w:r>
        <w:rPr>
          <w:rFonts w:hint="default" w:ascii="Times New Roman" w:hAnsi="Times New Roman" w:eastAsia="仿宋_GB2312" w:cs="Times New Roman"/>
          <w:kern w:val="0"/>
          <w:sz w:val="32"/>
          <w:szCs w:val="32"/>
        </w:rPr>
        <w:t>人，增加</w:t>
      </w:r>
      <w:r>
        <w:rPr>
          <w:rFonts w:hint="eastAsia" w:eastAsia="仿宋_GB2312" w:cs="Times New Roman"/>
          <w:kern w:val="0"/>
          <w:sz w:val="32"/>
          <w:szCs w:val="32"/>
          <w:lang w:val="en-US" w:eastAsia="zh-CN"/>
        </w:rPr>
        <w:t>28</w:t>
      </w:r>
      <w:r>
        <w:rPr>
          <w:rFonts w:hint="default" w:ascii="Times New Roman" w:hAnsi="Times New Roman" w:eastAsia="仿宋_GB2312" w:cs="Times New Roman"/>
          <w:kern w:val="0"/>
          <w:sz w:val="32"/>
          <w:szCs w:val="32"/>
        </w:rPr>
        <w:t>人；离休</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人，增加或减少</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人。</w:t>
      </w:r>
    </w:p>
    <w:p>
      <w:pPr>
        <w:widowControl/>
        <w:spacing w:before="120" w:beforeLines="50"/>
        <w:ind w:firstLine="1920" w:firstLineChars="600"/>
        <w:jc w:val="both"/>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2"/>
        <w:tblW w:w="8662" w:type="dxa"/>
        <w:jc w:val="center"/>
        <w:tblInd w:w="0"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jc w:val="center"/>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625.68</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18"/>
                <w:szCs w:val="18"/>
                <w:lang w:val="en-US"/>
              </w:rPr>
            </w:pPr>
            <w:r>
              <w:rPr>
                <w:rFonts w:hint="eastAsia" w:ascii="宋体" w:hAnsi="宋体" w:cs="宋体"/>
                <w:kern w:val="0"/>
                <w:sz w:val="18"/>
                <w:szCs w:val="18"/>
                <w:lang w:val="en-US" w:eastAsia="zh-CN"/>
              </w:rPr>
              <w:t>1072.43</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625.68</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lang w:val="en-US" w:eastAsia="zh-CN"/>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jc w:val="center"/>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20"/>
                <w:szCs w:val="20"/>
                <w:lang w:eastAsia="zh-CN"/>
              </w:rPr>
              <w:t>本</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年</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收</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入</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小</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625.68</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ind w:firstLine="360" w:firstLineChars="20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本</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年</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支</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出</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小</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计</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1072.43</w:t>
            </w:r>
          </w:p>
        </w:tc>
      </w:tr>
      <w:tr>
        <w:tblPrEx>
          <w:tblLayout w:type="fixed"/>
          <w:tblCellMar>
            <w:top w:w="0" w:type="dxa"/>
            <w:left w:w="108" w:type="dxa"/>
            <w:bottom w:w="0" w:type="dxa"/>
            <w:right w:w="108" w:type="dxa"/>
          </w:tblCellMar>
        </w:tblPrEx>
        <w:trPr>
          <w:trHeight w:val="409" w:hRule="atLeast"/>
          <w:jc w:val="center"/>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446.75</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ind w:firstLine="200" w:firstLineChars="100"/>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1072.43</w:t>
            </w:r>
          </w:p>
        </w:tc>
        <w:tc>
          <w:tcPr>
            <w:tcW w:w="2693" w:type="dxa"/>
            <w:tcBorders>
              <w:top w:val="nil"/>
              <w:left w:val="nil"/>
              <w:bottom w:val="single" w:color="auto" w:sz="4" w:space="0"/>
              <w:right w:val="nil"/>
            </w:tcBorders>
            <w:shd w:val="clear" w:color="auto" w:fill="auto"/>
            <w:vAlign w:val="center"/>
          </w:tcPr>
          <w:p>
            <w:pPr>
              <w:widowControl/>
              <w:spacing w:line="300" w:lineRule="exact"/>
              <w:ind w:firstLine="400" w:firstLineChars="2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支  出  </w:t>
            </w:r>
            <w:r>
              <w:rPr>
                <w:rFonts w:hint="eastAsia" w:ascii="仿宋_GB2312" w:hAnsi="宋体" w:eastAsia="仿宋_GB2312" w:cs="宋体"/>
                <w:kern w:val="0"/>
                <w:sz w:val="20"/>
                <w:szCs w:val="20"/>
                <w:lang w:eastAsia="zh-CN"/>
              </w:rPr>
              <w:t>总</w:t>
            </w:r>
            <w:r>
              <w:rPr>
                <w:rFonts w:hint="eastAsia" w:ascii="仿宋_GB2312" w:hAnsi="宋体" w:eastAsia="仿宋_GB2312" w:cs="宋体"/>
                <w:kern w:val="0"/>
                <w:sz w:val="20"/>
                <w:szCs w:val="20"/>
              </w:rPr>
              <w:t xml:space="preserve">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宋体" w:hAnsi="宋体" w:eastAsia="宋体" w:cs="宋体"/>
                <w:kern w:val="0"/>
                <w:sz w:val="18"/>
                <w:szCs w:val="18"/>
                <w:lang w:val="en-US"/>
              </w:rPr>
            </w:pPr>
            <w:r>
              <w:rPr>
                <w:rFonts w:hint="eastAsia" w:ascii="宋体" w:hAnsi="宋体" w:cs="宋体"/>
                <w:kern w:val="0"/>
                <w:sz w:val="18"/>
                <w:szCs w:val="18"/>
                <w:lang w:val="en-US" w:eastAsia="zh-CN"/>
              </w:rPr>
              <w:t>1072.43</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both"/>
        <w:outlineLvl w:val="1"/>
        <w:rPr>
          <w:rFonts w:ascii="仿宋_GB2312" w:hAnsi="宋体" w:eastAsia="仿宋_GB2312"/>
          <w:kern w:val="0"/>
          <w:sz w:val="24"/>
        </w:rPr>
      </w:pPr>
      <w:r>
        <w:rPr>
          <w:rFonts w:hint="eastAsia" w:ascii="仿宋_GB2312" w:hAnsi="宋体" w:eastAsia="仿宋_GB2312"/>
          <w:kern w:val="0"/>
          <w:sz w:val="24"/>
        </w:rPr>
        <w:t xml:space="preserve">填报部门： </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单位：万元</w:t>
      </w:r>
    </w:p>
    <w:tbl>
      <w:tblPr>
        <w:tblStyle w:val="12"/>
        <w:tblpPr w:leftFromText="180" w:rightFromText="180" w:vertAnchor="text" w:horzAnchor="page" w:tblpXSpec="center" w:tblpY="231"/>
        <w:tblOverlap w:val="never"/>
        <w:tblW w:w="10000" w:type="dxa"/>
        <w:jc w:val="center"/>
        <w:tblInd w:w="0" w:type="dxa"/>
        <w:tblLayout w:type="fixed"/>
        <w:tblCellMar>
          <w:top w:w="0" w:type="dxa"/>
          <w:left w:w="108" w:type="dxa"/>
          <w:bottom w:w="0" w:type="dxa"/>
          <w:right w:w="108" w:type="dxa"/>
        </w:tblCellMar>
      </w:tblPr>
      <w:tblGrid>
        <w:gridCol w:w="535"/>
        <w:gridCol w:w="463"/>
        <w:gridCol w:w="423"/>
        <w:gridCol w:w="1105"/>
        <w:gridCol w:w="832"/>
        <w:gridCol w:w="777"/>
        <w:gridCol w:w="436"/>
        <w:gridCol w:w="457"/>
        <w:gridCol w:w="500"/>
        <w:gridCol w:w="641"/>
        <w:gridCol w:w="709"/>
        <w:gridCol w:w="552"/>
        <w:gridCol w:w="672"/>
        <w:gridCol w:w="532"/>
        <w:gridCol w:w="1366"/>
      </w:tblGrid>
      <w:tr>
        <w:tblPrEx>
          <w:tblLayout w:type="fixed"/>
          <w:tblCellMar>
            <w:top w:w="0" w:type="dxa"/>
            <w:left w:w="108" w:type="dxa"/>
            <w:bottom w:w="0" w:type="dxa"/>
            <w:right w:w="108" w:type="dxa"/>
          </w:tblCellMar>
        </w:tblPrEx>
        <w:trPr>
          <w:trHeight w:val="531" w:hRule="atLeast"/>
          <w:jc w:val="center"/>
        </w:trPr>
        <w:tc>
          <w:tcPr>
            <w:tcW w:w="142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0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3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43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5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5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641"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5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672"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53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3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91"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10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3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7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3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5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0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41"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72"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53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3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714"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8"/>
                <w:szCs w:val="18"/>
              </w:rPr>
            </w:pPr>
            <w:r>
              <w:rPr>
                <w:rFonts w:hint="eastAsia" w:ascii="宋体" w:hAnsi="宋体" w:eastAsia="宋体"/>
                <w:color w:val="000000"/>
                <w:sz w:val="18"/>
                <w:szCs w:val="18"/>
                <w:lang w:val="en-US" w:eastAsia="zh-CN"/>
              </w:rPr>
              <w:t>201</w:t>
            </w:r>
            <w:r>
              <w:rPr>
                <w:rFonts w:hint="eastAsia" w:ascii="宋体" w:hAnsi="宋体" w:eastAsia="宋体"/>
                <w:color w:val="000000"/>
                <w:sz w:val="18"/>
                <w:szCs w:val="18"/>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8"/>
                <w:szCs w:val="18"/>
              </w:rPr>
            </w:pPr>
            <w:r>
              <w:rPr>
                <w:rFonts w:hint="eastAsia" w:ascii="宋体" w:hAnsi="宋体" w:eastAsia="宋体"/>
                <w:color w:val="000000"/>
                <w:sz w:val="18"/>
                <w:szCs w:val="18"/>
                <w:lang w:val="en-US" w:eastAsia="zh-CN"/>
              </w:rPr>
              <w:t>04</w:t>
            </w:r>
            <w:r>
              <w:rPr>
                <w:rFonts w:hint="eastAsia" w:ascii="宋体" w:hAnsi="宋体" w:eastAsia="宋体"/>
                <w:color w:val="000000"/>
                <w:sz w:val="18"/>
                <w:szCs w:val="18"/>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8"/>
                <w:szCs w:val="18"/>
              </w:rPr>
            </w:pPr>
            <w:r>
              <w:rPr>
                <w:rFonts w:hint="eastAsia" w:ascii="宋体" w:hAnsi="宋体"/>
                <w:color w:val="000000"/>
                <w:sz w:val="18"/>
                <w:szCs w:val="18"/>
                <w:lang w:val="en-US" w:eastAsia="zh-CN"/>
              </w:rPr>
              <w:t>01</w:t>
            </w:r>
            <w:r>
              <w:rPr>
                <w:rFonts w:hint="eastAsia" w:ascii="宋体" w:hAnsi="宋体" w:eastAsia="宋体"/>
                <w:color w:val="000000"/>
                <w:sz w:val="18"/>
                <w:szCs w:val="18"/>
              </w:rPr>
              <w:t>　</w:t>
            </w:r>
          </w:p>
        </w:tc>
        <w:tc>
          <w:tcPr>
            <w:tcW w:w="11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lang w:eastAsia="zh-CN"/>
              </w:rPr>
              <w:t>行政运行（发展与改革事务）</w:t>
            </w:r>
          </w:p>
        </w:tc>
        <w:tc>
          <w:tcPr>
            <w:tcW w:w="832" w:type="dxa"/>
            <w:tcBorders>
              <w:top w:val="nil"/>
              <w:left w:val="nil"/>
              <w:bottom w:val="single" w:color="auto" w:sz="4" w:space="0"/>
              <w:right w:val="single" w:color="auto" w:sz="4" w:space="0"/>
            </w:tcBorders>
            <w:shd w:val="clear" w:color="000000" w:fill="FFFFFF"/>
            <w:vAlign w:val="center"/>
          </w:tcPr>
          <w:p>
            <w:pPr>
              <w:jc w:val="right"/>
              <w:rPr>
                <w:rFonts w:hint="eastAsia" w:ascii="宋体" w:hAnsi="宋体" w:eastAsia="宋体" w:cs="宋体"/>
                <w:color w:val="000000"/>
                <w:sz w:val="18"/>
                <w:szCs w:val="18"/>
              </w:rPr>
            </w:pPr>
            <w:r>
              <w:rPr>
                <w:rFonts w:hint="eastAsia" w:ascii="宋体" w:hAnsi="宋体"/>
                <w:color w:val="000000"/>
                <w:sz w:val="18"/>
                <w:szCs w:val="18"/>
                <w:lang w:val="en-US" w:eastAsia="zh-CN"/>
              </w:rPr>
              <w:t>1072.43</w:t>
            </w:r>
            <w:r>
              <w:rPr>
                <w:rFonts w:hint="eastAsia" w:ascii="宋体" w:hAnsi="宋体" w:eastAsia="宋体"/>
                <w:color w:val="000000"/>
                <w:sz w:val="18"/>
                <w:szCs w:val="18"/>
              </w:rPr>
              <w:t>　</w:t>
            </w:r>
          </w:p>
        </w:tc>
        <w:tc>
          <w:tcPr>
            <w:tcW w:w="777" w:type="dxa"/>
            <w:tcBorders>
              <w:top w:val="nil"/>
              <w:left w:val="nil"/>
              <w:bottom w:val="single" w:color="auto" w:sz="4" w:space="0"/>
              <w:right w:val="single" w:color="auto" w:sz="4" w:space="0"/>
            </w:tcBorders>
            <w:shd w:val="clear" w:color="000000" w:fill="FFFFFF"/>
            <w:vAlign w:val="center"/>
          </w:tcPr>
          <w:p>
            <w:pPr>
              <w:jc w:val="center"/>
              <w:rPr>
                <w:rFonts w:hint="default" w:ascii="宋体" w:hAnsi="宋体" w:eastAsia="宋体" w:cs="宋体"/>
                <w:color w:val="000000"/>
                <w:sz w:val="18"/>
                <w:szCs w:val="18"/>
                <w:lang w:val="en-US"/>
              </w:rPr>
            </w:pPr>
            <w:r>
              <w:rPr>
                <w:rFonts w:hint="eastAsia" w:ascii="宋体" w:hAnsi="宋体"/>
                <w:color w:val="000000"/>
                <w:sz w:val="18"/>
                <w:szCs w:val="18"/>
                <w:lang w:val="en-US" w:eastAsia="zh-CN"/>
              </w:rPr>
              <w:t>625.68</w:t>
            </w:r>
          </w:p>
        </w:tc>
        <w:tc>
          <w:tcPr>
            <w:tcW w:w="436"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457"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500"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641" w:type="dxa"/>
            <w:tcBorders>
              <w:top w:val="single" w:color="auto" w:sz="4" w:space="0"/>
              <w:left w:val="nil"/>
              <w:bottom w:val="single" w:color="auto" w:sz="4" w:space="0"/>
              <w:right w:val="single" w:color="auto" w:sz="4" w:space="0"/>
            </w:tcBorders>
            <w:shd w:val="clear" w:color="000000" w:fill="FFFFFF"/>
          </w:tcPr>
          <w:p>
            <w:pPr>
              <w:jc w:val="center"/>
              <w:rPr>
                <w:rFonts w:hint="eastAsia" w:ascii="宋体" w:hAnsi="宋体" w:eastAsia="宋体"/>
                <w:color w:val="000000"/>
                <w:sz w:val="18"/>
                <w:szCs w:val="18"/>
              </w:rPr>
            </w:pPr>
          </w:p>
        </w:tc>
        <w:tc>
          <w:tcPr>
            <w:tcW w:w="709"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552" w:type="dxa"/>
            <w:tcBorders>
              <w:top w:val="nil"/>
              <w:left w:val="nil"/>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672" w:type="dxa"/>
            <w:tcBorders>
              <w:top w:val="single" w:color="auto" w:sz="4" w:space="0"/>
              <w:left w:val="nil"/>
              <w:bottom w:val="single" w:color="auto" w:sz="4" w:space="0"/>
              <w:right w:val="single" w:color="auto" w:sz="4" w:space="0"/>
            </w:tcBorders>
            <w:shd w:val="clear" w:color="000000" w:fill="FFFFFF"/>
            <w:vAlign w:val="center"/>
          </w:tcPr>
          <w:p>
            <w:pPr>
              <w:jc w:val="center"/>
              <w:rPr>
                <w:rFonts w:hint="eastAsia" w:ascii="宋体" w:hAnsi="宋体" w:eastAsia="宋体"/>
                <w:color w:val="000000"/>
                <w:sz w:val="18"/>
                <w:szCs w:val="18"/>
                <w:lang w:val="en-US" w:eastAsia="zh-CN"/>
              </w:rPr>
            </w:pPr>
          </w:p>
        </w:tc>
        <w:tc>
          <w:tcPr>
            <w:tcW w:w="532" w:type="dxa"/>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宋体" w:hAnsi="宋体" w:eastAsia="宋体" w:cs="宋体"/>
                <w:color w:val="000000"/>
                <w:sz w:val="18"/>
                <w:szCs w:val="18"/>
              </w:rPr>
            </w:pPr>
            <w:r>
              <w:rPr>
                <w:rFonts w:hint="eastAsia" w:ascii="宋体" w:hAnsi="宋体" w:eastAsia="宋体"/>
                <w:color w:val="000000"/>
                <w:sz w:val="18"/>
                <w:szCs w:val="18"/>
              </w:rPr>
              <w:t>　</w:t>
            </w:r>
          </w:p>
        </w:tc>
        <w:tc>
          <w:tcPr>
            <w:tcW w:w="1366" w:type="dxa"/>
            <w:tcBorders>
              <w:top w:val="nil"/>
              <w:left w:val="nil"/>
              <w:bottom w:val="single" w:color="auto" w:sz="4" w:space="0"/>
              <w:right w:val="single" w:color="auto" w:sz="4" w:space="0"/>
            </w:tcBorders>
            <w:shd w:val="clear" w:color="000000" w:fill="FFFFFF"/>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446.75</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vAlign w:val="top"/>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vAlign w:val="top"/>
          </w:tcPr>
          <w:p>
            <w:pPr>
              <w:jc w:val="right"/>
              <w:rPr>
                <w:rFonts w:hint="default" w:ascii="仿宋_GB2312" w:eastAsia="仿宋_GB2312"/>
                <w:color w:val="000000"/>
                <w:sz w:val="20"/>
                <w:szCs w:val="20"/>
                <w:lang w:val="en-US"/>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ightChars="0"/>
              <w:rPr>
                <w:rFonts w:hint="default" w:ascii="仿宋_GB2312" w:hAnsi="宋体" w:eastAsia="仿宋_GB2312" w:cs="宋体"/>
                <w:color w:val="000000"/>
                <w:sz w:val="20"/>
                <w:szCs w:val="20"/>
                <w:lang w:val="en-US"/>
              </w:rPr>
            </w:pP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3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3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5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0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41"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72"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66"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88" w:hRule="atLeast"/>
          <w:jc w:val="center"/>
        </w:trPr>
        <w:tc>
          <w:tcPr>
            <w:tcW w:w="535"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5"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6"/>
                <w:szCs w:val="16"/>
              </w:rPr>
              <w:t>合计</w:t>
            </w:r>
          </w:p>
        </w:tc>
        <w:tc>
          <w:tcPr>
            <w:tcW w:w="832"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eastAsia="宋体" w:cs="宋体"/>
                <w:color w:val="000000"/>
                <w:sz w:val="16"/>
                <w:szCs w:val="16"/>
              </w:rPr>
            </w:pPr>
            <w:r>
              <w:rPr>
                <w:rFonts w:hint="eastAsia" w:ascii="宋体" w:hAnsi="宋体"/>
                <w:color w:val="000000"/>
                <w:sz w:val="18"/>
                <w:szCs w:val="18"/>
                <w:lang w:val="en-US" w:eastAsia="zh-CN"/>
              </w:rPr>
              <w:t>1072.43</w:t>
            </w:r>
            <w:r>
              <w:rPr>
                <w:rFonts w:hint="eastAsia" w:ascii="宋体" w:hAnsi="宋体" w:eastAsia="宋体"/>
                <w:color w:val="000000"/>
                <w:sz w:val="18"/>
                <w:szCs w:val="18"/>
              </w:rPr>
              <w:t>　</w:t>
            </w:r>
          </w:p>
        </w:tc>
        <w:tc>
          <w:tcPr>
            <w:tcW w:w="77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color w:val="000000"/>
                <w:sz w:val="18"/>
                <w:szCs w:val="18"/>
                <w:lang w:val="en-US" w:eastAsia="zh-CN"/>
              </w:rPr>
              <w:t>625.68</w:t>
            </w:r>
          </w:p>
        </w:tc>
        <w:tc>
          <w:tcPr>
            <w:tcW w:w="436"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8"/>
                <w:szCs w:val="18"/>
              </w:rPr>
              <w:t>　</w:t>
            </w:r>
          </w:p>
        </w:tc>
        <w:tc>
          <w:tcPr>
            <w:tcW w:w="457"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8"/>
                <w:szCs w:val="18"/>
              </w:rPr>
              <w:t>　</w:t>
            </w:r>
          </w:p>
        </w:tc>
        <w:tc>
          <w:tcPr>
            <w:tcW w:w="641" w:type="dxa"/>
            <w:tcBorders>
              <w:top w:val="single" w:color="auto" w:sz="4" w:space="0"/>
              <w:left w:val="nil"/>
              <w:bottom w:val="single" w:color="auto" w:sz="4" w:space="0"/>
              <w:right w:val="single" w:color="auto" w:sz="4" w:space="0"/>
            </w:tcBorders>
            <w:vAlign w:val="top"/>
          </w:tcPr>
          <w:p>
            <w:pPr>
              <w:jc w:val="center"/>
              <w:rPr>
                <w:rFonts w:hint="eastAsia" w:ascii="宋体" w:hAnsi="宋体" w:eastAsia="宋体"/>
                <w:color w:val="000000"/>
                <w:sz w:val="16"/>
                <w:szCs w:val="16"/>
              </w:rPr>
            </w:pP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8"/>
                <w:szCs w:val="18"/>
              </w:rPr>
              <w:t>　</w:t>
            </w:r>
          </w:p>
        </w:tc>
        <w:tc>
          <w:tcPr>
            <w:tcW w:w="552"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8"/>
                <w:szCs w:val="18"/>
              </w:rPr>
              <w:t>　</w:t>
            </w:r>
          </w:p>
        </w:tc>
        <w:tc>
          <w:tcPr>
            <w:tcW w:w="672"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olor w:val="000000"/>
                <w:sz w:val="16"/>
                <w:szCs w:val="16"/>
                <w:lang w:val="en-US" w:eastAsia="zh-CN"/>
              </w:rPr>
            </w:pPr>
          </w:p>
        </w:tc>
        <w:tc>
          <w:tcPr>
            <w:tcW w:w="532" w:type="dxa"/>
            <w:tcBorders>
              <w:top w:val="nil"/>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16"/>
                <w:szCs w:val="16"/>
              </w:rPr>
            </w:pPr>
            <w:r>
              <w:rPr>
                <w:rFonts w:hint="eastAsia" w:ascii="宋体" w:hAnsi="宋体" w:eastAsia="宋体"/>
                <w:color w:val="000000"/>
                <w:sz w:val="18"/>
                <w:szCs w:val="18"/>
              </w:rPr>
              <w:t>　</w:t>
            </w:r>
          </w:p>
        </w:tc>
        <w:tc>
          <w:tcPr>
            <w:tcW w:w="1366" w:type="dxa"/>
            <w:tcBorders>
              <w:top w:val="nil"/>
              <w:left w:val="nil"/>
              <w:bottom w:val="single" w:color="auto" w:sz="4" w:space="0"/>
              <w:right w:val="single" w:color="auto" w:sz="4" w:space="0"/>
            </w:tcBorders>
            <w:shd w:val="clear" w:color="auto" w:fill="auto"/>
            <w:vAlign w:val="center"/>
          </w:tcPr>
          <w:p>
            <w:pPr>
              <w:rPr>
                <w:rFonts w:hint="eastAsia" w:ascii="宋体" w:hAnsi="宋体" w:eastAsia="宋体" w:cs="宋体"/>
                <w:color w:val="000000"/>
                <w:sz w:val="16"/>
                <w:szCs w:val="16"/>
                <w:lang w:val="en-US" w:eastAsia="zh-CN"/>
              </w:rPr>
            </w:pPr>
            <w:r>
              <w:rPr>
                <w:rFonts w:hint="eastAsia" w:ascii="宋体" w:hAnsi="宋体" w:cs="宋体"/>
                <w:color w:val="000000"/>
                <w:sz w:val="18"/>
                <w:szCs w:val="18"/>
                <w:lang w:val="en-US" w:eastAsia="zh-CN"/>
              </w:rPr>
              <w:t>446.75</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单位：万元</w:t>
      </w:r>
    </w:p>
    <w:tbl>
      <w:tblPr>
        <w:tblStyle w:val="12"/>
        <w:tblW w:w="9432" w:type="dxa"/>
        <w:jc w:val="center"/>
        <w:tblInd w:w="0" w:type="dxa"/>
        <w:tblLayout w:type="fixed"/>
        <w:tblCellMar>
          <w:top w:w="0" w:type="dxa"/>
          <w:left w:w="108" w:type="dxa"/>
          <w:bottom w:w="0" w:type="dxa"/>
          <w:right w:w="108" w:type="dxa"/>
        </w:tblCellMar>
      </w:tblPr>
      <w:tblGrid>
        <w:gridCol w:w="561"/>
        <w:gridCol w:w="416"/>
        <w:gridCol w:w="491"/>
        <w:gridCol w:w="2337"/>
        <w:gridCol w:w="12"/>
        <w:gridCol w:w="1843"/>
        <w:gridCol w:w="12"/>
        <w:gridCol w:w="1844"/>
        <w:gridCol w:w="12"/>
        <w:gridCol w:w="1892"/>
        <w:gridCol w:w="12"/>
      </w:tblGrid>
      <w:tr>
        <w:tblPrEx>
          <w:tblLayout w:type="fixed"/>
          <w:tblCellMar>
            <w:top w:w="0" w:type="dxa"/>
            <w:left w:w="108" w:type="dxa"/>
            <w:bottom w:w="0" w:type="dxa"/>
            <w:right w:w="108" w:type="dxa"/>
          </w:tblCellMar>
        </w:tblPrEx>
        <w:trPr>
          <w:gridAfter w:val="1"/>
          <w:wAfter w:w="12" w:type="dxa"/>
          <w:trHeight w:val="345" w:hRule="atLeast"/>
          <w:jc w:val="center"/>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gridAfter w:val="1"/>
          <w:wAfter w:w="12" w:type="dxa"/>
          <w:trHeight w:val="480" w:hRule="atLeast"/>
          <w:jc w:val="center"/>
        </w:trPr>
        <w:tc>
          <w:tcPr>
            <w:tcW w:w="14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337"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349"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gridSpan w:val="2"/>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04</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01</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eastAsia="zh-CN"/>
              </w:rPr>
              <w:t>行政运行（发展与改革事务）</w:t>
            </w:r>
            <w:r>
              <w:rPr>
                <w:rFonts w:hint="eastAsia" w:ascii="宋体" w:hAnsi="宋体" w:cs="宋体"/>
                <w:b w:val="0"/>
                <w:bCs w:val="0"/>
                <w:color w:val="000000"/>
                <w:kern w:val="0"/>
                <w:sz w:val="18"/>
                <w:szCs w:val="18"/>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882.86</w:t>
            </w:r>
            <w:r>
              <w:rPr>
                <w:rFonts w:hint="eastAsia" w:ascii="宋体" w:hAnsi="宋体" w:cs="宋体"/>
                <w:b w:val="0"/>
                <w:bCs w:val="0"/>
                <w:color w:val="000000"/>
                <w:kern w:val="0"/>
                <w:sz w:val="18"/>
                <w:szCs w:val="18"/>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582.52</w:t>
            </w:r>
            <w:r>
              <w:rPr>
                <w:rFonts w:hint="eastAsia" w:ascii="宋体" w:hAnsi="宋体" w:cs="宋体"/>
                <w:b w:val="0"/>
                <w:bCs w:val="0"/>
                <w:color w:val="000000"/>
                <w:kern w:val="0"/>
                <w:sz w:val="18"/>
                <w:szCs w:val="18"/>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300.34</w:t>
            </w:r>
            <w:r>
              <w:rPr>
                <w:rFonts w:hint="eastAsia" w:ascii="宋体" w:hAnsi="宋体" w:cs="宋体"/>
                <w:b w:val="0"/>
                <w:bCs w:val="0"/>
                <w:color w:val="000000"/>
                <w:kern w:val="0"/>
                <w:sz w:val="18"/>
                <w:szCs w:val="18"/>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04</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val="0"/>
                <w:color w:val="000000"/>
                <w:kern w:val="0"/>
                <w:sz w:val="18"/>
                <w:szCs w:val="18"/>
                <w:lang w:val="en-US" w:eastAsia="zh-CN"/>
              </w:rPr>
            </w:pPr>
            <w:r>
              <w:rPr>
                <w:rFonts w:hint="eastAsia" w:ascii="宋体" w:hAnsi="宋体" w:cs="宋体"/>
                <w:b w:val="0"/>
                <w:bCs w:val="0"/>
                <w:color w:val="000000"/>
                <w:kern w:val="0"/>
                <w:sz w:val="18"/>
                <w:szCs w:val="18"/>
                <w:lang w:val="en-US" w:eastAsia="zh-CN"/>
              </w:rPr>
              <w:t>02</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eastAsia="zh-CN"/>
              </w:rPr>
              <w:t>一般行政管理事</w:t>
            </w:r>
            <w:r>
              <w:rPr>
                <w:rFonts w:hint="eastAsia" w:ascii="宋体" w:hAnsi="宋体" w:cs="宋体"/>
                <w:b w:val="0"/>
                <w:bCs w:val="0"/>
                <w:color w:val="000000"/>
                <w:kern w:val="0"/>
                <w:sz w:val="18"/>
                <w:szCs w:val="18"/>
                <w:lang w:val="en-US" w:eastAsia="zh-CN"/>
              </w:rPr>
              <w:t>务</w:t>
            </w:r>
            <w:r>
              <w:rPr>
                <w:rFonts w:hint="eastAsia" w:ascii="宋体" w:hAnsi="宋体" w:cs="宋体"/>
                <w:b w:val="0"/>
                <w:bCs w:val="0"/>
                <w:color w:val="000000"/>
                <w:kern w:val="0"/>
                <w:sz w:val="18"/>
                <w:szCs w:val="18"/>
                <w:lang w:eastAsia="zh-CN"/>
              </w:rPr>
              <w:t>（发展与改革事务）</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lang w:val="en-US" w:eastAsia="zh-CN"/>
              </w:rPr>
              <w:t>189.57</w:t>
            </w:r>
            <w:r>
              <w:rPr>
                <w:rFonts w:hint="eastAsia" w:ascii="宋体" w:hAnsi="宋体" w:cs="宋体"/>
                <w:b w:val="0"/>
                <w:bCs w:val="0"/>
                <w:color w:val="000000"/>
                <w:kern w:val="0"/>
                <w:sz w:val="18"/>
                <w:szCs w:val="18"/>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8"/>
                <w:szCs w:val="18"/>
              </w:rPr>
            </w:pPr>
            <w:r>
              <w:rPr>
                <w:rFonts w:hint="eastAsia" w:ascii="宋体" w:hAnsi="宋体" w:cs="宋体"/>
                <w:b w:val="0"/>
                <w:bCs w:val="0"/>
                <w:color w:val="000000"/>
                <w:kern w:val="0"/>
                <w:sz w:val="18"/>
                <w:szCs w:val="18"/>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val="0"/>
                <w:bCs w:val="0"/>
                <w:color w:val="000000"/>
                <w:kern w:val="0"/>
                <w:sz w:val="18"/>
                <w:szCs w:val="18"/>
                <w:lang w:val="en-US"/>
              </w:rPr>
            </w:pPr>
            <w:r>
              <w:rPr>
                <w:rFonts w:hint="eastAsia" w:ascii="宋体" w:hAnsi="宋体" w:cs="宋体"/>
                <w:b w:val="0"/>
                <w:bCs w:val="0"/>
                <w:color w:val="000000"/>
                <w:kern w:val="0"/>
                <w:sz w:val="18"/>
                <w:szCs w:val="18"/>
                <w:lang w:val="en-US" w:eastAsia="zh-CN"/>
              </w:rPr>
              <w:t>189.57</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val="0"/>
                <w:bCs w:val="0"/>
                <w:color w:val="000000"/>
                <w:kern w:val="0"/>
                <w:sz w:val="22"/>
                <w:szCs w:val="22"/>
              </w:rPr>
            </w:pPr>
            <w:r>
              <w:rPr>
                <w:rFonts w:hint="eastAsia" w:ascii="宋体" w:hAnsi="宋体" w:cs="宋体"/>
                <w:b w:val="0"/>
                <w:bCs w:val="0"/>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jc w:val="center"/>
        </w:trPr>
        <w:tc>
          <w:tcPr>
            <w:tcW w:w="56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855"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1072.43</w:t>
            </w:r>
          </w:p>
        </w:tc>
        <w:tc>
          <w:tcPr>
            <w:tcW w:w="1856"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582.52</w:t>
            </w:r>
          </w:p>
        </w:tc>
        <w:tc>
          <w:tcPr>
            <w:tcW w:w="190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rPr>
              <w:t>　</w:t>
            </w:r>
            <w:r>
              <w:rPr>
                <w:rFonts w:hint="eastAsia" w:ascii="宋体" w:hAnsi="宋体" w:cs="宋体"/>
                <w:color w:val="000000"/>
                <w:kern w:val="0"/>
                <w:sz w:val="18"/>
                <w:szCs w:val="18"/>
                <w:lang w:val="en-US" w:eastAsia="zh-CN"/>
              </w:rPr>
              <w:t>489.91</w:t>
            </w:r>
          </w:p>
        </w:tc>
      </w:tr>
    </w:tbl>
    <w:p>
      <w:pPr>
        <w:widowControl/>
        <w:spacing w:before="120" w:beforeLines="50"/>
        <w:outlineLvl w:val="1"/>
        <w:rPr>
          <w:rFonts w:hint="eastAsia" w:ascii="仿宋_GB2312" w:hAnsi="宋体" w:eastAsia="仿宋_GB2312"/>
          <w:b/>
          <w:kern w:val="0"/>
          <w:sz w:val="32"/>
          <w:szCs w:val="32"/>
        </w:rPr>
      </w:pP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8"/>
          <w:szCs w:val="28"/>
        </w:rPr>
        <w:t xml:space="preserve">                        单位：万元</w:t>
      </w:r>
    </w:p>
    <w:tbl>
      <w:tblPr>
        <w:tblStyle w:val="12"/>
        <w:tblW w:w="9449" w:type="dxa"/>
        <w:jc w:val="center"/>
        <w:tblInd w:w="0" w:type="dxa"/>
        <w:tblLayout w:type="fixed"/>
        <w:tblCellMar>
          <w:top w:w="0" w:type="dxa"/>
          <w:left w:w="108" w:type="dxa"/>
          <w:bottom w:w="0" w:type="dxa"/>
          <w:right w:w="108" w:type="dxa"/>
        </w:tblCellMar>
      </w:tblPr>
      <w:tblGrid>
        <w:gridCol w:w="2159"/>
        <w:gridCol w:w="914"/>
        <w:gridCol w:w="2357"/>
        <w:gridCol w:w="1418"/>
        <w:gridCol w:w="1275"/>
        <w:gridCol w:w="1326"/>
      </w:tblGrid>
      <w:tr>
        <w:tblPrEx>
          <w:tblLayout w:type="fixed"/>
          <w:tblCellMar>
            <w:top w:w="0" w:type="dxa"/>
            <w:left w:w="108" w:type="dxa"/>
            <w:bottom w:w="0" w:type="dxa"/>
            <w:right w:w="108" w:type="dxa"/>
          </w:tblCellMar>
        </w:tblPrEx>
        <w:trPr>
          <w:trHeight w:val="285" w:hRule="atLeast"/>
          <w:jc w:val="center"/>
        </w:trPr>
        <w:tc>
          <w:tcPr>
            <w:tcW w:w="3073"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376"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91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3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91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rPr>
            </w:pPr>
            <w:r>
              <w:rPr>
                <w:rFonts w:hint="eastAsia" w:ascii="宋体" w:hAnsi="宋体" w:cs="宋体"/>
                <w:color w:val="000000"/>
                <w:kern w:val="0"/>
                <w:sz w:val="18"/>
                <w:szCs w:val="18"/>
                <w:lang w:val="en-US" w:eastAsia="zh-CN"/>
              </w:rPr>
              <w:t>625.68</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lang w:val="en-US" w:eastAsia="zh-CN"/>
              </w:rPr>
              <w:t>625.68</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color w:val="000000"/>
                <w:kern w:val="0"/>
                <w:sz w:val="18"/>
                <w:szCs w:val="18"/>
                <w:lang w:val="en-US" w:eastAsia="zh-CN"/>
              </w:rPr>
              <w:t>625.68</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91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rPr>
            </w:pPr>
            <w:r>
              <w:rPr>
                <w:rFonts w:hint="eastAsia" w:ascii="宋体" w:hAnsi="宋体" w:cs="宋体"/>
                <w:color w:val="000000"/>
                <w:kern w:val="0"/>
                <w:sz w:val="18"/>
                <w:szCs w:val="18"/>
                <w:lang w:val="en-US" w:eastAsia="zh-CN"/>
              </w:rPr>
              <w:t>625.68</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91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18.30</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914"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3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lang w:eastAsia="zh-CN"/>
              </w:rPr>
              <w:t>本</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年</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收</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入</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小</w:t>
            </w:r>
            <w:r>
              <w:rPr>
                <w:rFonts w:hint="eastAsia" w:ascii="仿宋_GB2312" w:hAnsi="宋体" w:eastAsia="仿宋_GB2312" w:cs="宋体"/>
                <w:kern w:val="0"/>
                <w:sz w:val="20"/>
                <w:szCs w:val="20"/>
                <w:lang w:val="en-US" w:eastAsia="zh-CN"/>
              </w:rPr>
              <w:t xml:space="preserve"> </w:t>
            </w:r>
            <w:r>
              <w:rPr>
                <w:rFonts w:hint="eastAsia" w:ascii="仿宋_GB2312" w:hAnsi="宋体" w:eastAsia="仿宋_GB2312" w:cs="宋体"/>
                <w:kern w:val="0"/>
                <w:sz w:val="20"/>
                <w:szCs w:val="20"/>
                <w:lang w:eastAsia="zh-CN"/>
              </w:rPr>
              <w:t>计</w:t>
            </w:r>
          </w:p>
        </w:tc>
        <w:tc>
          <w:tcPr>
            <w:tcW w:w="9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cs="宋体"/>
                <w:color w:val="000000"/>
                <w:kern w:val="0"/>
                <w:sz w:val="18"/>
                <w:szCs w:val="18"/>
                <w:lang w:val="en-US" w:eastAsia="zh-CN"/>
              </w:rPr>
            </w:pPr>
            <w:r>
              <w:rPr>
                <w:rFonts w:hint="eastAsia" w:ascii="宋体" w:hAnsi="宋体" w:cs="宋体"/>
                <w:kern w:val="0"/>
                <w:sz w:val="18"/>
                <w:szCs w:val="18"/>
                <w:lang w:val="en-US" w:eastAsia="zh-CN"/>
              </w:rPr>
              <w:t>625.68</w:t>
            </w:r>
          </w:p>
        </w:tc>
        <w:tc>
          <w:tcPr>
            <w:tcW w:w="2357" w:type="dxa"/>
            <w:tcBorders>
              <w:top w:val="nil"/>
              <w:left w:val="nil"/>
              <w:bottom w:val="single" w:color="auto" w:sz="4" w:space="0"/>
              <w:right w:val="single" w:color="auto" w:sz="4" w:space="0"/>
            </w:tcBorders>
            <w:shd w:val="clear" w:color="auto" w:fill="auto"/>
            <w:vAlign w:val="center"/>
          </w:tcPr>
          <w:p>
            <w:pPr>
              <w:widowControl/>
              <w:spacing w:line="300" w:lineRule="exact"/>
              <w:ind w:firstLine="360" w:firstLineChars="200"/>
              <w:jc w:val="left"/>
              <w:rPr>
                <w:rFonts w:hint="eastAsia" w:ascii="仿宋_GB2312" w:hAnsi="宋体" w:eastAsia="仿宋_GB2312" w:cs="宋体"/>
                <w:kern w:val="0"/>
                <w:sz w:val="20"/>
                <w:szCs w:val="20"/>
              </w:rPr>
            </w:pPr>
            <w:r>
              <w:rPr>
                <w:rFonts w:hint="eastAsia" w:ascii="仿宋_GB2312" w:hAnsi="宋体" w:eastAsia="仿宋_GB2312" w:cs="宋体"/>
                <w:kern w:val="0"/>
                <w:sz w:val="18"/>
                <w:szCs w:val="18"/>
                <w:lang w:eastAsia="zh-CN"/>
              </w:rPr>
              <w:t>本</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年</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支</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出</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小</w:t>
            </w:r>
            <w:r>
              <w:rPr>
                <w:rFonts w:hint="eastAsia" w:ascii="仿宋_GB2312" w:hAnsi="宋体" w:eastAsia="仿宋_GB2312" w:cs="宋体"/>
                <w:kern w:val="0"/>
                <w:sz w:val="18"/>
                <w:szCs w:val="18"/>
                <w:lang w:val="en-US" w:eastAsia="zh-CN"/>
              </w:rPr>
              <w:t xml:space="preserve"> </w:t>
            </w:r>
            <w:r>
              <w:rPr>
                <w:rFonts w:hint="eastAsia" w:ascii="仿宋_GB2312" w:hAnsi="宋体" w:eastAsia="仿宋_GB2312" w:cs="宋体"/>
                <w:kern w:val="0"/>
                <w:sz w:val="18"/>
                <w:szCs w:val="18"/>
                <w:lang w:eastAsia="zh-CN"/>
              </w:rPr>
              <w:t>计</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cs="宋体"/>
                <w:color w:val="000000"/>
                <w:kern w:val="0"/>
                <w:sz w:val="18"/>
                <w:szCs w:val="18"/>
                <w:lang w:val="en-US" w:eastAsia="zh-CN"/>
              </w:rPr>
            </w:pPr>
            <w:r>
              <w:rPr>
                <w:rFonts w:hint="eastAsia" w:ascii="宋体" w:hAnsi="宋体" w:cs="宋体"/>
                <w:kern w:val="0"/>
                <w:sz w:val="18"/>
                <w:szCs w:val="18"/>
                <w:lang w:val="en-US" w:eastAsia="zh-CN"/>
              </w:rPr>
              <w:t>625.68</w:t>
            </w:r>
          </w:p>
        </w:tc>
        <w:tc>
          <w:tcPr>
            <w:tcW w:w="1275" w:type="dxa"/>
            <w:tcBorders>
              <w:top w:val="nil"/>
              <w:left w:val="nil"/>
              <w:bottom w:val="single" w:color="auto" w:sz="4" w:space="0"/>
              <w:right w:val="single" w:color="auto" w:sz="4" w:space="0"/>
            </w:tcBorders>
            <w:shd w:val="clear" w:color="auto" w:fill="auto"/>
            <w:vAlign w:val="center"/>
          </w:tcPr>
          <w:p>
            <w:pPr>
              <w:widowControl/>
              <w:spacing w:line="300" w:lineRule="exact"/>
              <w:ind w:firstLine="180" w:firstLineChars="100"/>
              <w:jc w:val="left"/>
              <w:rPr>
                <w:rFonts w:hint="eastAsia" w:ascii="宋体" w:hAnsi="宋体" w:cs="宋体"/>
                <w:color w:val="000000"/>
                <w:kern w:val="0"/>
                <w:sz w:val="18"/>
                <w:szCs w:val="18"/>
                <w:lang w:val="en-US" w:eastAsia="zh-CN"/>
              </w:rPr>
            </w:pPr>
            <w:r>
              <w:rPr>
                <w:rFonts w:hint="eastAsia" w:ascii="宋体" w:hAnsi="宋体" w:cs="宋体"/>
                <w:kern w:val="0"/>
                <w:sz w:val="18"/>
                <w:szCs w:val="18"/>
                <w:lang w:val="en-US" w:eastAsia="zh-CN"/>
              </w:rPr>
              <w:t>625.68</w:t>
            </w:r>
          </w:p>
        </w:tc>
        <w:tc>
          <w:tcPr>
            <w:tcW w:w="13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671"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9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cs="宋体"/>
                <w:color w:val="000000"/>
                <w:kern w:val="0"/>
                <w:sz w:val="18"/>
                <w:szCs w:val="18"/>
                <w:lang w:val="en-US" w:eastAsia="zh-CN"/>
              </w:rPr>
            </w:pPr>
            <w:r>
              <w:rPr>
                <w:rFonts w:hint="eastAsia" w:ascii="宋体" w:hAnsi="宋体" w:cs="宋体"/>
                <w:kern w:val="0"/>
                <w:sz w:val="18"/>
                <w:szCs w:val="18"/>
                <w:lang w:val="en-US" w:eastAsia="zh-CN"/>
              </w:rPr>
              <w:t>446.75</w:t>
            </w:r>
          </w:p>
        </w:tc>
        <w:tc>
          <w:tcPr>
            <w:tcW w:w="235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0"/>
                <w:szCs w:val="20"/>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cs="宋体"/>
                <w:color w:val="000000"/>
                <w:kern w:val="0"/>
                <w:sz w:val="18"/>
                <w:szCs w:val="18"/>
                <w:lang w:val="en-US" w:eastAsia="zh-CN"/>
              </w:rPr>
            </w:pPr>
          </w:p>
        </w:tc>
        <w:tc>
          <w:tcPr>
            <w:tcW w:w="1275" w:type="dxa"/>
            <w:tcBorders>
              <w:top w:val="nil"/>
              <w:left w:val="nil"/>
              <w:bottom w:val="single" w:color="auto" w:sz="4" w:space="0"/>
              <w:right w:val="single" w:color="auto" w:sz="4" w:space="0"/>
            </w:tcBorders>
            <w:shd w:val="clear" w:color="auto" w:fill="auto"/>
            <w:vAlign w:val="center"/>
          </w:tcPr>
          <w:p>
            <w:pPr>
              <w:widowControl/>
              <w:spacing w:line="300" w:lineRule="exact"/>
              <w:jc w:val="both"/>
              <w:rPr>
                <w:rFonts w:hint="eastAsia" w:ascii="宋体" w:hAnsi="宋体" w:cs="宋体"/>
                <w:color w:val="000000"/>
                <w:kern w:val="0"/>
                <w:sz w:val="18"/>
                <w:szCs w:val="18"/>
                <w:lang w:val="en-US" w:eastAsia="zh-CN"/>
              </w:rPr>
            </w:pPr>
          </w:p>
        </w:tc>
        <w:tc>
          <w:tcPr>
            <w:tcW w:w="13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jc w:val="center"/>
        </w:trPr>
        <w:tc>
          <w:tcPr>
            <w:tcW w:w="215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200" w:firstLineChars="1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91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color w:val="000000"/>
                <w:kern w:val="0"/>
                <w:sz w:val="22"/>
                <w:szCs w:val="22"/>
                <w:lang w:val="en-US"/>
              </w:rPr>
            </w:pPr>
            <w:r>
              <w:rPr>
                <w:rFonts w:hint="eastAsia" w:ascii="宋体" w:hAnsi="宋体" w:cs="宋体"/>
                <w:kern w:val="0"/>
                <w:sz w:val="18"/>
                <w:szCs w:val="18"/>
                <w:lang w:val="en-US" w:eastAsia="zh-CN"/>
              </w:rPr>
              <w:t>625.68</w:t>
            </w:r>
          </w:p>
        </w:tc>
        <w:tc>
          <w:tcPr>
            <w:tcW w:w="2357" w:type="dxa"/>
            <w:tcBorders>
              <w:top w:val="nil"/>
              <w:left w:val="nil"/>
              <w:bottom w:val="single" w:color="auto" w:sz="4" w:space="0"/>
              <w:right w:val="single" w:color="auto" w:sz="4" w:space="0"/>
            </w:tcBorders>
            <w:shd w:val="clear" w:color="auto" w:fill="auto"/>
            <w:vAlign w:val="center"/>
          </w:tcPr>
          <w:p>
            <w:pPr>
              <w:widowControl/>
              <w:spacing w:line="300" w:lineRule="exact"/>
              <w:ind w:firstLine="400" w:firstLineChars="200"/>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支  出  </w:t>
            </w:r>
            <w:r>
              <w:rPr>
                <w:rFonts w:hint="eastAsia" w:ascii="仿宋_GB2312" w:hAnsi="宋体" w:eastAsia="仿宋_GB2312" w:cs="宋体"/>
                <w:kern w:val="0"/>
                <w:sz w:val="20"/>
                <w:szCs w:val="20"/>
                <w:lang w:eastAsia="zh-CN"/>
              </w:rPr>
              <w:t>总</w:t>
            </w:r>
            <w:r>
              <w:rPr>
                <w:rFonts w:hint="eastAsia" w:ascii="仿宋_GB2312" w:hAnsi="宋体" w:eastAsia="仿宋_GB2312" w:cs="宋体"/>
                <w:kern w:val="0"/>
                <w:sz w:val="20"/>
                <w:szCs w:val="20"/>
              </w:rPr>
              <w:t xml:space="preserve"> 计</w:t>
            </w:r>
          </w:p>
        </w:tc>
        <w:tc>
          <w:tcPr>
            <w:tcW w:w="141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18"/>
                <w:szCs w:val="18"/>
              </w:rPr>
            </w:pPr>
            <w:r>
              <w:rPr>
                <w:rFonts w:hint="eastAsia" w:ascii="宋体" w:hAnsi="宋体" w:cs="宋体"/>
                <w:kern w:val="0"/>
                <w:sz w:val="18"/>
                <w:szCs w:val="18"/>
                <w:lang w:val="en-US" w:eastAsia="zh-CN"/>
              </w:rPr>
              <w:t>625.68</w:t>
            </w:r>
          </w:p>
        </w:tc>
        <w:tc>
          <w:tcPr>
            <w:tcW w:w="1275" w:type="dxa"/>
            <w:tcBorders>
              <w:top w:val="nil"/>
              <w:left w:val="nil"/>
              <w:bottom w:val="single" w:color="auto" w:sz="4" w:space="0"/>
              <w:right w:val="single" w:color="auto" w:sz="4" w:space="0"/>
            </w:tcBorders>
            <w:shd w:val="clear" w:color="auto" w:fill="auto"/>
            <w:vAlign w:val="center"/>
          </w:tcPr>
          <w:p>
            <w:pPr>
              <w:widowControl/>
              <w:spacing w:line="300" w:lineRule="exact"/>
              <w:ind w:firstLine="180" w:firstLineChars="100"/>
              <w:jc w:val="left"/>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625.68</w:t>
            </w:r>
          </w:p>
        </w:tc>
        <w:tc>
          <w:tcPr>
            <w:tcW w:w="1326"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cs="宋体"/>
                <w:kern w:val="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12"/>
        <w:tblW w:w="9214" w:type="dxa"/>
        <w:jc w:val="center"/>
        <w:tblInd w:w="0"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jc w:val="center"/>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jc w:val="center"/>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克州发展和改革委员会</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ind w:firstLine="1440" w:firstLineChars="600"/>
              <w:jc w:val="both"/>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jc w:val="center"/>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jc w:val="center"/>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04</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val="0"/>
                <w:bCs/>
                <w:color w:val="000000"/>
                <w:kern w:val="0"/>
                <w:sz w:val="18"/>
                <w:szCs w:val="18"/>
                <w:lang w:val="en-US" w:eastAsia="zh-CN"/>
              </w:rPr>
            </w:pPr>
            <w:r>
              <w:rPr>
                <w:rFonts w:hint="eastAsia" w:ascii="宋体" w:hAnsi="宋体" w:eastAsia="宋体" w:cs="宋体"/>
                <w:b w:val="0"/>
                <w:bCs/>
                <w:color w:val="000000"/>
                <w:kern w:val="0"/>
                <w:sz w:val="18"/>
                <w:szCs w:val="18"/>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val="0"/>
                <w:bCs/>
                <w:color w:val="000000"/>
                <w:kern w:val="0"/>
                <w:sz w:val="20"/>
                <w:szCs w:val="20"/>
              </w:rPr>
            </w:pPr>
            <w:r>
              <w:rPr>
                <w:rFonts w:hint="eastAsia" w:ascii="宋体" w:hAnsi="宋体" w:cs="宋体"/>
                <w:b w:val="0"/>
                <w:bCs/>
                <w:color w:val="000000"/>
                <w:kern w:val="0"/>
                <w:sz w:val="18"/>
                <w:szCs w:val="18"/>
                <w:lang w:eastAsia="zh-CN"/>
              </w:rPr>
              <w:t>行政运行（发展与改革事务）</w:t>
            </w:r>
            <w:r>
              <w:rPr>
                <w:rFonts w:hint="eastAsia" w:ascii="宋体" w:hAnsi="宋体" w:cs="宋体"/>
                <w:b w:val="0"/>
                <w:bCs/>
                <w:color w:val="000000"/>
                <w:kern w:val="0"/>
                <w:sz w:val="18"/>
                <w:szCs w:val="18"/>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625.68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557.40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r>
              <w:rPr>
                <w:rFonts w:hint="eastAsia" w:ascii="宋体" w:hAnsi="宋体" w:cs="宋体"/>
                <w:b w:val="0"/>
                <w:bCs/>
                <w:color w:val="000000"/>
                <w:kern w:val="0"/>
                <w:sz w:val="18"/>
                <w:szCs w:val="18"/>
                <w:lang w:val="en-US" w:eastAsia="zh-CN"/>
              </w:rPr>
              <w:t>68.28</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val="0"/>
                <w:bCs/>
                <w:color w:val="000000"/>
                <w:kern w:val="0"/>
                <w:sz w:val="18"/>
                <w:szCs w:val="18"/>
                <w:lang w:val="en-US" w:eastAsia="zh-CN"/>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val="0"/>
                <w:bCs/>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b w:val="0"/>
                <w:bCs/>
                <w:color w:val="000000"/>
                <w:kern w:val="0"/>
                <w:sz w:val="18"/>
                <w:szCs w:val="18"/>
                <w:lang w:val="en-US" w:eastAsia="zh-CN"/>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b w:val="0"/>
                <w:bCs/>
                <w:color w:val="000000"/>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b w:val="0"/>
                <w:bCs/>
                <w:color w:val="000000"/>
                <w:kern w:val="0"/>
                <w:sz w:val="18"/>
                <w:szCs w:val="18"/>
                <w:lang w:val="en-US" w:eastAsia="zh-CN"/>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jc w:val="center"/>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b w:val="0"/>
                <w:bCs/>
                <w:color w:val="000000"/>
                <w:kern w:val="0"/>
                <w:sz w:val="18"/>
                <w:szCs w:val="18"/>
                <w:lang w:val="en-US" w:eastAsia="zh-CN"/>
              </w:rPr>
              <w:t>625.68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b w:val="0"/>
                <w:bCs/>
                <w:color w:val="000000"/>
                <w:kern w:val="0"/>
                <w:sz w:val="18"/>
                <w:szCs w:val="18"/>
                <w:lang w:val="en-US" w:eastAsia="zh-CN"/>
              </w:rPr>
              <w:t>557.40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b w:val="0"/>
                <w:bCs/>
                <w:color w:val="000000"/>
                <w:kern w:val="0"/>
                <w:sz w:val="18"/>
                <w:szCs w:val="18"/>
                <w:lang w:val="en-US" w:eastAsia="zh-CN"/>
              </w:rPr>
              <w:t>68.28</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12"/>
        <w:tblW w:w="9080" w:type="dxa"/>
        <w:jc w:val="center"/>
        <w:tblInd w:w="0" w:type="dxa"/>
        <w:tblLayout w:type="fixed"/>
        <w:tblCellMar>
          <w:top w:w="0" w:type="dxa"/>
          <w:left w:w="108" w:type="dxa"/>
          <w:bottom w:w="0" w:type="dxa"/>
          <w:right w:w="108" w:type="dxa"/>
        </w:tblCellMar>
      </w:tblPr>
      <w:tblGrid>
        <w:gridCol w:w="737"/>
        <w:gridCol w:w="708"/>
        <w:gridCol w:w="2667"/>
        <w:gridCol w:w="969"/>
        <w:gridCol w:w="687"/>
        <w:gridCol w:w="951"/>
        <w:gridCol w:w="704"/>
        <w:gridCol w:w="1657"/>
      </w:tblGrid>
      <w:tr>
        <w:tblPrEx>
          <w:tblLayout w:type="fixed"/>
          <w:tblCellMar>
            <w:top w:w="0" w:type="dxa"/>
            <w:left w:w="108" w:type="dxa"/>
            <w:bottom w:w="0" w:type="dxa"/>
            <w:right w:w="108" w:type="dxa"/>
          </w:tblCellMar>
        </w:tblPrEx>
        <w:trPr>
          <w:trHeight w:val="523" w:hRule="atLeast"/>
          <w:jc w:val="center"/>
        </w:trPr>
        <w:tc>
          <w:tcPr>
            <w:tcW w:w="9080"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391" w:hRule="atLeast"/>
          <w:jc w:val="center"/>
        </w:trPr>
        <w:tc>
          <w:tcPr>
            <w:tcW w:w="411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克州发展和改革委员会</w:t>
            </w:r>
          </w:p>
        </w:tc>
        <w:tc>
          <w:tcPr>
            <w:tcW w:w="969"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38"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361" w:type="dxa"/>
            <w:gridSpan w:val="2"/>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297" w:hRule="atLeast"/>
          <w:jc w:val="center"/>
        </w:trPr>
        <w:tc>
          <w:tcPr>
            <w:tcW w:w="4112"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968" w:type="dxa"/>
            <w:gridSpan w:val="5"/>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551" w:hRule="atLeast"/>
          <w:jc w:val="center"/>
        </w:trPr>
        <w:tc>
          <w:tcPr>
            <w:tcW w:w="1445" w:type="dxa"/>
            <w:gridSpan w:val="2"/>
            <w:tcBorders>
              <w:top w:val="single" w:color="auto" w:sz="4" w:space="0"/>
              <w:left w:val="single" w:color="auto" w:sz="4" w:space="0"/>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6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65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65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57"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6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仿宋_GB2312" w:hAnsi="宋体" w:eastAsia="仿宋_GB2312" w:cs="宋体"/>
                <w:b/>
                <w:bCs/>
                <w:color w:val="000000"/>
                <w:kern w:val="0"/>
                <w:sz w:val="20"/>
                <w:szCs w:val="20"/>
              </w:rPr>
            </w:pPr>
          </w:p>
        </w:tc>
        <w:tc>
          <w:tcPr>
            <w:tcW w:w="1656"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b/>
                <w:bCs/>
                <w:color w:val="000000"/>
                <w:kern w:val="0"/>
                <w:sz w:val="20"/>
                <w:szCs w:val="20"/>
              </w:rPr>
            </w:pPr>
          </w:p>
        </w:tc>
        <w:tc>
          <w:tcPr>
            <w:tcW w:w="1655"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b/>
                <w:bCs/>
                <w:color w:val="000000"/>
                <w:kern w:val="0"/>
                <w:sz w:val="20"/>
                <w:szCs w:val="20"/>
              </w:rPr>
            </w:pPr>
          </w:p>
        </w:tc>
        <w:tc>
          <w:tcPr>
            <w:tcW w:w="1657"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kern w:val="0"/>
                <w:sz w:val="18"/>
                <w:szCs w:val="18"/>
                <w:lang w:val="en-US" w:eastAsia="zh-CN"/>
              </w:rPr>
            </w:pPr>
            <w:r>
              <w:rPr>
                <w:rFonts w:hint="eastAsia" w:ascii="宋体" w:hAnsi="宋体" w:cs="宋体"/>
                <w:i w:val="0"/>
                <w:color w:val="000000"/>
                <w:kern w:val="0"/>
                <w:sz w:val="18"/>
                <w:szCs w:val="18"/>
                <w:u w:val="none"/>
                <w:lang w:val="en-US" w:eastAsia="zh-CN" w:bidi="ar"/>
              </w:rPr>
              <w:t>301</w:t>
            </w:r>
            <w:r>
              <w:rPr>
                <w:rFonts w:hint="eastAsia" w:ascii="宋体" w:hAnsi="宋体" w:eastAsia="宋体" w:cs="宋体"/>
                <w:i w:val="0"/>
                <w:color w:val="000000"/>
                <w:kern w:val="0"/>
                <w:sz w:val="18"/>
                <w:szCs w:val="18"/>
                <w:u w:val="none"/>
                <w:lang w:val="en-US" w:eastAsia="zh-CN" w:bidi="ar"/>
              </w:rPr>
              <w:t>01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18"/>
                <w:szCs w:val="18"/>
                <w:u w:val="none"/>
                <w:lang w:val="en-US" w:eastAsia="zh-CN" w:bidi="ar"/>
              </w:rPr>
              <w:t>基本工资</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cs="宋体"/>
                <w:color w:val="000000"/>
                <w:kern w:val="0"/>
                <w:sz w:val="18"/>
                <w:szCs w:val="18"/>
                <w:lang w:val="en-US"/>
              </w:rPr>
            </w:pPr>
            <w:r>
              <w:rPr>
                <w:rFonts w:hint="eastAsia" w:ascii="宋体" w:hAnsi="宋体" w:cs="宋体"/>
                <w:i w:val="0"/>
                <w:color w:val="000000"/>
                <w:kern w:val="0"/>
                <w:sz w:val="20"/>
                <w:szCs w:val="20"/>
                <w:u w:val="none"/>
                <w:lang w:val="en-US" w:eastAsia="zh-CN" w:bidi="ar"/>
              </w:rPr>
              <w:t>124.84</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124.84</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kern w:val="0"/>
                <w:sz w:val="18"/>
                <w:szCs w:val="18"/>
                <w:lang w:val="en-US" w:eastAsia="zh-CN"/>
              </w:rPr>
            </w:pPr>
            <w:r>
              <w:rPr>
                <w:rFonts w:hint="eastAsia" w:ascii="宋体" w:hAnsi="宋体" w:cs="宋体"/>
                <w:i w:val="0"/>
                <w:color w:val="000000"/>
                <w:kern w:val="0"/>
                <w:sz w:val="18"/>
                <w:szCs w:val="18"/>
                <w:u w:val="none"/>
                <w:lang w:val="en-US" w:eastAsia="zh-CN" w:bidi="ar"/>
              </w:rPr>
              <w:t>301</w:t>
            </w:r>
            <w:r>
              <w:rPr>
                <w:rFonts w:hint="eastAsia" w:ascii="宋体" w:hAnsi="宋体" w:eastAsia="宋体" w:cs="宋体"/>
                <w:i w:val="0"/>
                <w:color w:val="000000"/>
                <w:kern w:val="0"/>
                <w:sz w:val="18"/>
                <w:szCs w:val="18"/>
                <w:u w:val="none"/>
                <w:lang w:val="en-US" w:eastAsia="zh-CN" w:bidi="ar"/>
              </w:rPr>
              <w:t>02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8"/>
                <w:szCs w:val="18"/>
              </w:rPr>
            </w:pPr>
            <w:r>
              <w:rPr>
                <w:rFonts w:hint="eastAsia" w:ascii="宋体" w:hAnsi="宋体" w:eastAsia="宋体" w:cs="宋体"/>
                <w:i w:val="0"/>
                <w:color w:val="000000"/>
                <w:kern w:val="0"/>
                <w:sz w:val="18"/>
                <w:szCs w:val="18"/>
                <w:u w:val="none"/>
                <w:lang w:val="en-US" w:eastAsia="zh-CN" w:bidi="ar"/>
              </w:rPr>
              <w:t>津贴补贴</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181.96</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cs="宋体"/>
                <w:color w:val="000000"/>
                <w:kern w:val="0"/>
                <w:sz w:val="18"/>
                <w:szCs w:val="18"/>
                <w:lang w:val="en-US"/>
              </w:rPr>
            </w:pPr>
            <w:r>
              <w:rPr>
                <w:rFonts w:hint="eastAsia" w:ascii="宋体" w:hAnsi="宋体" w:cs="宋体"/>
                <w:i w:val="0"/>
                <w:color w:val="000000"/>
                <w:kern w:val="0"/>
                <w:sz w:val="20"/>
                <w:szCs w:val="20"/>
                <w:u w:val="none"/>
                <w:lang w:val="en-US" w:eastAsia="zh-CN" w:bidi="ar"/>
              </w:rPr>
              <w:t>181.96</w:t>
            </w: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301</w:t>
            </w:r>
            <w:r>
              <w:rPr>
                <w:rFonts w:hint="eastAsia" w:ascii="宋体" w:hAnsi="宋体" w:eastAsia="宋体" w:cs="宋体"/>
                <w:i w:val="0"/>
                <w:color w:val="000000"/>
                <w:kern w:val="0"/>
                <w:sz w:val="18"/>
                <w:szCs w:val="18"/>
                <w:u w:val="none"/>
                <w:lang w:val="en-US" w:eastAsia="zh-CN" w:bidi="ar"/>
              </w:rPr>
              <w:t>03</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奖金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10.40</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10.40</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301</w:t>
            </w:r>
            <w:r>
              <w:rPr>
                <w:rFonts w:hint="eastAsia" w:ascii="宋体" w:hAnsi="宋体" w:eastAsia="宋体" w:cs="宋体"/>
                <w:i w:val="0"/>
                <w:color w:val="000000"/>
                <w:kern w:val="0"/>
                <w:sz w:val="18"/>
                <w:szCs w:val="18"/>
                <w:u w:val="none"/>
                <w:lang w:val="en-US" w:eastAsia="zh-CN" w:bidi="ar"/>
              </w:rPr>
              <w:t>08</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53.81</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53.81</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301</w:t>
            </w:r>
            <w:r>
              <w:rPr>
                <w:rFonts w:hint="eastAsia" w:ascii="宋体" w:hAnsi="宋体" w:eastAsia="宋体" w:cs="宋体"/>
                <w:i w:val="0"/>
                <w:color w:val="000000"/>
                <w:kern w:val="0"/>
                <w:sz w:val="18"/>
                <w:szCs w:val="18"/>
                <w:u w:val="none"/>
                <w:lang w:val="en-US" w:eastAsia="zh-CN" w:bidi="ar"/>
              </w:rPr>
              <w:t>12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其他社会保障缴费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42.76</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42.76</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42"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301</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301</w:t>
            </w:r>
            <w:r>
              <w:rPr>
                <w:rFonts w:hint="eastAsia" w:ascii="宋体" w:hAnsi="宋体" w:eastAsia="宋体" w:cs="宋体"/>
                <w:i w:val="0"/>
                <w:color w:val="000000"/>
                <w:kern w:val="0"/>
                <w:sz w:val="18"/>
                <w:szCs w:val="18"/>
                <w:u w:val="none"/>
                <w:lang w:val="en-US" w:eastAsia="zh-CN" w:bidi="ar"/>
              </w:rPr>
              <w:t>13</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住房公积金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31.65</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31.65</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01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办公费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10.00</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10.00</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02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印刷费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2.00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2.00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05</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水费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 xml:space="preserve">0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0.</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06</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电费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3.00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3.00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07</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邮电费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 xml:space="preserve">0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 xml:space="preserve">0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08</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取暖费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8.05</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8.05</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11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差旅费</w:t>
            </w:r>
          </w:p>
        </w:tc>
        <w:tc>
          <w:tcPr>
            <w:tcW w:w="1656"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13</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维修(护)费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cs="宋体"/>
                <w:color w:val="000000"/>
                <w:kern w:val="0"/>
                <w:sz w:val="18"/>
                <w:szCs w:val="18"/>
                <w:lang w:val="en-US"/>
              </w:rPr>
            </w:pPr>
            <w:r>
              <w:rPr>
                <w:rFonts w:hint="eastAsia" w:ascii="宋体" w:hAnsi="宋体" w:cs="宋体"/>
                <w:i w:val="0"/>
                <w:color w:val="000000"/>
                <w:kern w:val="0"/>
                <w:sz w:val="20"/>
                <w:szCs w:val="20"/>
                <w:u w:val="none"/>
                <w:lang w:val="en-US" w:eastAsia="zh-CN" w:bidi="ar"/>
              </w:rPr>
              <w:t>1.25</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1.25</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17</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公务接待费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3.00</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3.00</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26</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劳务费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11.30</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11.30</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28</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工会经费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1.84</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1.84</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29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福利费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3.31</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3.31</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31</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公务用车运行维护费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7.00</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7.00</w:t>
            </w:r>
            <w:r>
              <w:rPr>
                <w:rFonts w:hint="eastAsia" w:ascii="宋体" w:hAnsi="宋体" w:eastAsia="宋体" w:cs="宋体"/>
                <w:i w:val="0"/>
                <w:color w:val="000000"/>
                <w:kern w:val="0"/>
                <w:sz w:val="20"/>
                <w:szCs w:val="20"/>
                <w:u w:val="none"/>
                <w:lang w:val="en-US" w:eastAsia="zh-CN" w:bidi="ar"/>
              </w:rPr>
              <w:t xml:space="preserve"> </w:t>
            </w: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42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办公用品及设备采购</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cs="宋体"/>
                <w:color w:val="000000"/>
                <w:kern w:val="0"/>
                <w:sz w:val="18"/>
                <w:szCs w:val="18"/>
                <w:lang w:val="en-US"/>
              </w:rPr>
            </w:pPr>
            <w:r>
              <w:rPr>
                <w:rFonts w:hint="eastAsia" w:ascii="宋体" w:hAnsi="宋体" w:cs="宋体"/>
                <w:i w:val="0"/>
                <w:color w:val="000000"/>
                <w:kern w:val="0"/>
                <w:sz w:val="20"/>
                <w:szCs w:val="20"/>
                <w:u w:val="none"/>
                <w:lang w:val="en-US" w:eastAsia="zh-CN" w:bidi="ar"/>
              </w:rPr>
              <w:t>2.10</w:t>
            </w: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2.10</w:t>
            </w:r>
          </w:p>
        </w:tc>
      </w:tr>
      <w:tr>
        <w:tblPrEx>
          <w:tblLayout w:type="fixed"/>
          <w:tblCellMar>
            <w:top w:w="0" w:type="dxa"/>
            <w:left w:w="108" w:type="dxa"/>
            <w:bottom w:w="0" w:type="dxa"/>
            <w:right w:w="108" w:type="dxa"/>
          </w:tblCellMar>
        </w:tblPrEx>
        <w:trPr>
          <w:trHeight w:val="551"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302</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302</w:t>
            </w:r>
            <w:r>
              <w:rPr>
                <w:rFonts w:hint="eastAsia" w:ascii="宋体" w:hAnsi="宋体" w:eastAsia="宋体" w:cs="宋体"/>
                <w:i w:val="0"/>
                <w:color w:val="000000"/>
                <w:kern w:val="0"/>
                <w:sz w:val="18"/>
                <w:szCs w:val="18"/>
                <w:u w:val="none"/>
                <w:lang w:val="en-US" w:eastAsia="zh-CN" w:bidi="ar"/>
              </w:rPr>
              <w:t>99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其他商品和服务支出</w:t>
            </w:r>
          </w:p>
        </w:tc>
        <w:tc>
          <w:tcPr>
            <w:tcW w:w="1656"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c>
          <w:tcPr>
            <w:tcW w:w="1655" w:type="dxa"/>
            <w:gridSpan w:val="2"/>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c>
          <w:tcPr>
            <w:tcW w:w="16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303</w:t>
            </w:r>
            <w:r>
              <w:rPr>
                <w:rFonts w:hint="eastAsia" w:ascii="宋体" w:hAnsi="宋体" w:eastAsia="宋体" w:cs="宋体"/>
                <w:i w:val="0"/>
                <w:color w:val="000000"/>
                <w:kern w:val="0"/>
                <w:sz w:val="18"/>
                <w:szCs w:val="18"/>
                <w:u w:val="none"/>
                <w:lang w:val="en-US" w:eastAsia="zh-CN" w:bidi="ar"/>
              </w:rPr>
              <w:t>02</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退休费</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35.66</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35.66</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303</w:t>
            </w:r>
            <w:r>
              <w:rPr>
                <w:rFonts w:hint="eastAsia" w:ascii="宋体" w:hAnsi="宋体" w:eastAsia="宋体" w:cs="宋体"/>
                <w:i w:val="0"/>
                <w:color w:val="000000"/>
                <w:kern w:val="0"/>
                <w:sz w:val="18"/>
                <w:szCs w:val="18"/>
                <w:u w:val="none"/>
                <w:lang w:val="en-US" w:eastAsia="zh-CN" w:bidi="ar"/>
              </w:rPr>
              <w:t>04</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抚恤金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4.09</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cs="宋体"/>
                <w:i w:val="0"/>
                <w:color w:val="000000"/>
                <w:kern w:val="0"/>
                <w:sz w:val="20"/>
                <w:szCs w:val="20"/>
                <w:u w:val="none"/>
                <w:lang w:val="en-US" w:eastAsia="zh-CN" w:bidi="ar"/>
              </w:rPr>
              <w:t>4.09</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303</w:t>
            </w:r>
            <w:r>
              <w:rPr>
                <w:rFonts w:hint="eastAsia" w:ascii="宋体" w:hAnsi="宋体" w:eastAsia="宋体" w:cs="宋体"/>
                <w:i w:val="0"/>
                <w:color w:val="000000"/>
                <w:kern w:val="0"/>
                <w:sz w:val="18"/>
                <w:szCs w:val="18"/>
                <w:u w:val="none"/>
                <w:lang w:val="en-US" w:eastAsia="zh-CN" w:bidi="ar"/>
              </w:rPr>
              <w:t>05</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生活补助</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cs="宋体"/>
                <w:color w:val="000000"/>
                <w:kern w:val="0"/>
                <w:sz w:val="18"/>
                <w:szCs w:val="18"/>
                <w:lang w:val="en-US"/>
              </w:rPr>
            </w:pPr>
            <w:r>
              <w:rPr>
                <w:rFonts w:hint="eastAsia" w:ascii="宋体" w:hAnsi="宋体" w:eastAsia="宋体" w:cs="宋体"/>
                <w:i w:val="0"/>
                <w:color w:val="000000"/>
                <w:kern w:val="0"/>
                <w:sz w:val="20"/>
                <w:szCs w:val="20"/>
                <w:u w:val="none"/>
                <w:lang w:val="en-US" w:eastAsia="zh-CN" w:bidi="ar"/>
              </w:rPr>
              <w:t>10.</w:t>
            </w:r>
            <w:r>
              <w:rPr>
                <w:rFonts w:hint="eastAsia" w:ascii="宋体" w:hAnsi="宋体" w:cs="宋体"/>
                <w:i w:val="0"/>
                <w:color w:val="000000"/>
                <w:kern w:val="0"/>
                <w:sz w:val="20"/>
                <w:szCs w:val="20"/>
                <w:u w:val="none"/>
                <w:lang w:val="en-US" w:eastAsia="zh-CN" w:bidi="ar"/>
              </w:rPr>
              <w:t>34</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宋体" w:hAnsi="宋体" w:cs="宋体"/>
                <w:color w:val="000000"/>
                <w:kern w:val="0"/>
                <w:sz w:val="18"/>
                <w:szCs w:val="18"/>
                <w:lang w:val="en-US"/>
              </w:rPr>
            </w:pPr>
            <w:r>
              <w:rPr>
                <w:rFonts w:hint="eastAsia" w:ascii="宋体" w:hAnsi="宋体" w:cs="宋体"/>
                <w:i w:val="0"/>
                <w:color w:val="000000"/>
                <w:kern w:val="0"/>
                <w:sz w:val="20"/>
                <w:szCs w:val="20"/>
                <w:u w:val="none"/>
                <w:lang w:val="en-US" w:eastAsia="zh-CN" w:bidi="ar"/>
              </w:rPr>
              <w:t>10.34</w:t>
            </w:r>
          </w:p>
        </w:tc>
        <w:tc>
          <w:tcPr>
            <w:tcW w:w="16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303</w:t>
            </w:r>
            <w:r>
              <w:rPr>
                <w:rFonts w:hint="eastAsia" w:ascii="宋体" w:hAnsi="宋体" w:eastAsia="宋体" w:cs="宋体"/>
                <w:i w:val="0"/>
                <w:color w:val="000000"/>
                <w:kern w:val="0"/>
                <w:sz w:val="18"/>
                <w:szCs w:val="18"/>
                <w:u w:val="none"/>
                <w:lang w:val="en-US" w:eastAsia="zh-CN" w:bidi="ar"/>
              </w:rPr>
              <w:t>09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奖励金</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w:t>
            </w:r>
            <w:r>
              <w:rPr>
                <w:rFonts w:hint="eastAsia" w:ascii="宋体" w:hAnsi="宋体" w:cs="宋体"/>
                <w:i w:val="0"/>
                <w:color w:val="000000"/>
                <w:kern w:val="0"/>
                <w:sz w:val="20"/>
                <w:szCs w:val="20"/>
                <w:u w:val="none"/>
                <w:lang w:val="en-US" w:eastAsia="zh-CN" w:bidi="ar"/>
              </w:rPr>
              <w:t>13</w:t>
            </w: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4.1</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9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303</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cs="宋体"/>
                <w:i w:val="0"/>
                <w:color w:val="000000"/>
                <w:kern w:val="0"/>
                <w:sz w:val="18"/>
                <w:szCs w:val="18"/>
                <w:u w:val="none"/>
                <w:lang w:val="en-US" w:eastAsia="zh-CN" w:bidi="ar"/>
              </w:rPr>
              <w:t>303</w:t>
            </w:r>
            <w:r>
              <w:rPr>
                <w:rFonts w:hint="eastAsia" w:ascii="宋体" w:hAnsi="宋体" w:eastAsia="宋体" w:cs="宋体"/>
                <w:i w:val="0"/>
                <w:color w:val="000000"/>
                <w:kern w:val="0"/>
                <w:sz w:val="18"/>
                <w:szCs w:val="18"/>
                <w:u w:val="none"/>
                <w:lang w:val="en-US" w:eastAsia="zh-CN" w:bidi="ar"/>
              </w:rPr>
              <w:t>99</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其他对个人和家庭的补助</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 xml:space="preserve"> </w:t>
            </w:r>
          </w:p>
        </w:tc>
        <w:tc>
          <w:tcPr>
            <w:tcW w:w="1657" w:type="dxa"/>
            <w:tcBorders>
              <w:top w:val="nil"/>
              <w:left w:val="nil"/>
              <w:bottom w:val="single" w:color="auto" w:sz="4" w:space="0"/>
              <w:right w:val="single" w:color="auto" w:sz="4" w:space="0"/>
            </w:tcBorders>
            <w:shd w:val="clear" w:color="auto" w:fill="auto"/>
            <w:vAlign w:val="center"/>
          </w:tcPr>
          <w:p>
            <w:pPr>
              <w:jc w:val="right"/>
              <w:rPr>
                <w:rFonts w:hint="eastAsia"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47" w:hRule="atLeast"/>
          <w:jc w:val="center"/>
        </w:trPr>
        <w:tc>
          <w:tcPr>
            <w:tcW w:w="737"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color w:val="000000"/>
                <w:kern w:val="0"/>
                <w:sz w:val="18"/>
                <w:szCs w:val="18"/>
              </w:rPr>
            </w:pPr>
            <w:r>
              <w:rPr>
                <w:rFonts w:hint="eastAsia" w:ascii="宋体" w:hAnsi="宋体" w:cs="宋体"/>
                <w:color w:val="00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outlineLvl w:val="9"/>
              <w:rPr>
                <w:rFonts w:ascii="宋体" w:hAnsi="宋体" w:cs="宋体"/>
                <w:color w:val="000000"/>
                <w:kern w:val="0"/>
                <w:sz w:val="18"/>
                <w:szCs w:val="18"/>
              </w:rPr>
            </w:pPr>
            <w:r>
              <w:rPr>
                <w:rFonts w:hint="eastAsia" w:ascii="宋体" w:hAnsi="宋体" w:cs="宋体"/>
                <w:color w:val="000000"/>
                <w:kern w:val="0"/>
                <w:sz w:val="18"/>
                <w:szCs w:val="18"/>
              </w:rPr>
              <w:t>　</w:t>
            </w:r>
          </w:p>
        </w:tc>
        <w:tc>
          <w:tcPr>
            <w:tcW w:w="26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ascii="宋体" w:hAnsi="宋体" w:cs="宋体"/>
                <w:color w:val="000000"/>
                <w:kern w:val="0"/>
                <w:sz w:val="18"/>
                <w:szCs w:val="18"/>
              </w:rPr>
            </w:pPr>
            <w:r>
              <w:rPr>
                <w:rFonts w:hint="eastAsia" w:ascii="宋体" w:hAnsi="宋体" w:cs="宋体"/>
                <w:b/>
                <w:bCs/>
                <w:color w:val="000000"/>
                <w:kern w:val="0"/>
                <w:sz w:val="18"/>
                <w:szCs w:val="18"/>
              </w:rPr>
              <w:t>合计</w:t>
            </w:r>
          </w:p>
        </w:tc>
        <w:tc>
          <w:tcPr>
            <w:tcW w:w="165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557.40</w:t>
            </w:r>
          </w:p>
        </w:tc>
        <w:tc>
          <w:tcPr>
            <w:tcW w:w="165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499.65</w:t>
            </w:r>
          </w:p>
        </w:tc>
        <w:tc>
          <w:tcPr>
            <w:tcW w:w="165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57.75</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pStyle w:val="2"/>
        <w:rPr>
          <w:rFonts w:hint="eastAsia"/>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12"/>
        <w:tblW w:w="9540" w:type="dxa"/>
        <w:jc w:val="center"/>
        <w:tblInd w:w="0" w:type="dxa"/>
        <w:tblLayout w:type="fixed"/>
        <w:tblCellMar>
          <w:top w:w="0" w:type="dxa"/>
          <w:left w:w="108" w:type="dxa"/>
          <w:bottom w:w="0" w:type="dxa"/>
          <w:right w:w="108" w:type="dxa"/>
        </w:tblCellMar>
      </w:tblPr>
      <w:tblGrid>
        <w:gridCol w:w="8"/>
        <w:gridCol w:w="503"/>
        <w:gridCol w:w="368"/>
        <w:gridCol w:w="409"/>
        <w:gridCol w:w="1173"/>
        <w:gridCol w:w="1037"/>
        <w:gridCol w:w="750"/>
        <w:gridCol w:w="110"/>
        <w:gridCol w:w="459"/>
        <w:gridCol w:w="821"/>
        <w:gridCol w:w="480"/>
        <w:gridCol w:w="539"/>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jc w:val="center"/>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jc w:val="center"/>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lang w:eastAsia="zh-CN"/>
              </w:rPr>
              <w:t>克州发展和改革委员会</w:t>
            </w:r>
          </w:p>
        </w:tc>
        <w:tc>
          <w:tcPr>
            <w:tcW w:w="128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397"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88"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1173"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037"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82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8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53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511"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68"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09"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73"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037"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821"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8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eastAsia="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lang w:val="en-US" w:eastAsia="zh-CN"/>
              </w:rPr>
            </w:pPr>
            <w:r>
              <w:rPr>
                <w:rFonts w:hint="eastAsia" w:ascii="宋体" w:hAnsi="宋体" w:eastAsia="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eastAsia="宋体"/>
                <w:kern w:val="0"/>
                <w:sz w:val="16"/>
                <w:szCs w:val="16"/>
                <w:lang w:val="en-US" w:eastAsia="zh-CN"/>
              </w:rPr>
              <w:t>01</w:t>
            </w:r>
          </w:p>
        </w:tc>
        <w:tc>
          <w:tcPr>
            <w:tcW w:w="1173" w:type="dxa"/>
            <w:shd w:val="clear" w:color="auto" w:fill="auto"/>
            <w:vAlign w:val="center"/>
          </w:tcPr>
          <w:p>
            <w:pPr>
              <w:widowControl/>
              <w:jc w:val="center"/>
              <w:outlineLvl w:val="1"/>
              <w:rPr>
                <w:rFonts w:hint="eastAsia" w:ascii="宋体" w:hAnsi="宋体" w:eastAsia="宋体"/>
                <w:kern w:val="0"/>
                <w:sz w:val="16"/>
                <w:szCs w:val="16"/>
                <w:lang w:val="en-US" w:eastAsia="zh-CN"/>
              </w:rPr>
            </w:pPr>
            <w:r>
              <w:rPr>
                <w:rFonts w:hint="eastAsia" w:ascii="宋体" w:hAnsi="宋体"/>
                <w:kern w:val="0"/>
                <w:sz w:val="16"/>
                <w:szCs w:val="16"/>
                <w:lang w:eastAsia="zh-CN"/>
              </w:rPr>
              <w:t>行政运行（发展与改革事务）</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群众工作人员补助</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33.28</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48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33.28</w:t>
            </w:r>
          </w:p>
        </w:tc>
        <w:tc>
          <w:tcPr>
            <w:tcW w:w="53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01</w:t>
            </w:r>
          </w:p>
        </w:tc>
        <w:tc>
          <w:tcPr>
            <w:tcW w:w="1173" w:type="dxa"/>
            <w:shd w:val="clear" w:color="auto" w:fill="auto"/>
            <w:vAlign w:val="center"/>
          </w:tcPr>
          <w:p>
            <w:pPr>
              <w:widowControl/>
              <w:jc w:val="center"/>
              <w:outlineLvl w:val="1"/>
              <w:rPr>
                <w:rFonts w:hint="eastAsia" w:ascii="宋体" w:hAnsi="宋体" w:eastAsia="宋体"/>
                <w:kern w:val="0"/>
                <w:sz w:val="16"/>
                <w:szCs w:val="16"/>
                <w:lang w:eastAsia="zh-CN"/>
              </w:rPr>
            </w:pPr>
            <w:r>
              <w:rPr>
                <w:rFonts w:hint="eastAsia" w:ascii="宋体" w:hAnsi="宋体"/>
                <w:kern w:val="0"/>
                <w:sz w:val="16"/>
                <w:szCs w:val="16"/>
                <w:lang w:eastAsia="zh-CN"/>
              </w:rPr>
              <w:t>行政运行（发展与改革事务）</w:t>
            </w:r>
          </w:p>
        </w:tc>
        <w:tc>
          <w:tcPr>
            <w:tcW w:w="1037" w:type="dxa"/>
            <w:shd w:val="clear" w:color="auto" w:fill="auto"/>
            <w:vAlign w:val="center"/>
          </w:tcPr>
          <w:p>
            <w:pPr>
              <w:widowControl/>
              <w:jc w:val="both"/>
              <w:outlineLvl w:val="1"/>
              <w:rPr>
                <w:rFonts w:hint="eastAsia" w:ascii="宋体" w:hAnsi="宋体" w:eastAsia="宋体"/>
                <w:kern w:val="0"/>
                <w:sz w:val="16"/>
                <w:szCs w:val="16"/>
              </w:rPr>
            </w:pPr>
            <w:r>
              <w:rPr>
                <w:rFonts w:hint="eastAsia" w:ascii="宋体" w:hAnsi="宋体"/>
                <w:kern w:val="0"/>
                <w:sz w:val="16"/>
                <w:szCs w:val="16"/>
                <w:lang w:eastAsia="zh-CN"/>
              </w:rPr>
              <w:t>节能减排专项经费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5.00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5.00</w:t>
            </w:r>
          </w:p>
        </w:tc>
        <w:tc>
          <w:tcPr>
            <w:tcW w:w="480" w:type="dxa"/>
            <w:shd w:val="clear" w:color="auto" w:fill="auto"/>
            <w:vAlign w:val="center"/>
          </w:tcPr>
          <w:p>
            <w:pPr>
              <w:widowControl/>
              <w:jc w:val="center"/>
              <w:outlineLvl w:val="1"/>
              <w:rPr>
                <w:rFonts w:hint="eastAsia" w:ascii="宋体" w:hAnsi="宋体" w:eastAsia="宋体"/>
                <w:kern w:val="0"/>
                <w:sz w:val="16"/>
                <w:szCs w:val="16"/>
              </w:rPr>
            </w:pPr>
          </w:p>
        </w:tc>
        <w:tc>
          <w:tcPr>
            <w:tcW w:w="53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01</w:t>
            </w:r>
          </w:p>
        </w:tc>
        <w:tc>
          <w:tcPr>
            <w:tcW w:w="1173" w:type="dxa"/>
            <w:shd w:val="clear" w:color="auto" w:fill="auto"/>
            <w:vAlign w:val="center"/>
          </w:tcPr>
          <w:p>
            <w:pPr>
              <w:widowControl/>
              <w:jc w:val="center"/>
              <w:outlineLvl w:val="1"/>
              <w:rPr>
                <w:rFonts w:hint="eastAsia" w:ascii="宋体" w:hAnsi="宋体" w:eastAsia="宋体"/>
                <w:kern w:val="0"/>
                <w:sz w:val="16"/>
                <w:szCs w:val="16"/>
                <w:lang w:eastAsia="zh-CN"/>
              </w:rPr>
            </w:pPr>
            <w:r>
              <w:rPr>
                <w:rFonts w:hint="eastAsia" w:ascii="宋体" w:hAnsi="宋体"/>
                <w:kern w:val="0"/>
                <w:sz w:val="16"/>
                <w:szCs w:val="16"/>
                <w:lang w:eastAsia="zh-CN"/>
              </w:rPr>
              <w:t>行政运行（发展与改革事务）</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群众工作经费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10.00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10.00</w:t>
            </w:r>
          </w:p>
        </w:tc>
        <w:tc>
          <w:tcPr>
            <w:tcW w:w="480" w:type="dxa"/>
            <w:shd w:val="clear" w:color="auto" w:fill="auto"/>
            <w:vAlign w:val="center"/>
          </w:tcPr>
          <w:p>
            <w:pPr>
              <w:widowControl/>
              <w:jc w:val="center"/>
              <w:outlineLvl w:val="1"/>
              <w:rPr>
                <w:rFonts w:hint="eastAsia" w:ascii="宋体" w:hAnsi="宋体" w:eastAsia="宋体"/>
                <w:kern w:val="0"/>
                <w:sz w:val="16"/>
                <w:szCs w:val="16"/>
              </w:rPr>
            </w:pPr>
          </w:p>
        </w:tc>
        <w:tc>
          <w:tcPr>
            <w:tcW w:w="53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201</w:t>
            </w:r>
          </w:p>
        </w:tc>
        <w:tc>
          <w:tcPr>
            <w:tcW w:w="368"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04</w:t>
            </w:r>
          </w:p>
        </w:tc>
        <w:tc>
          <w:tcPr>
            <w:tcW w:w="409"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99</w:t>
            </w:r>
          </w:p>
        </w:tc>
        <w:tc>
          <w:tcPr>
            <w:tcW w:w="1173"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eastAsia="zh-CN"/>
              </w:rPr>
              <w:t>行政运行（发展与改革事务）</w:t>
            </w: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r>
              <w:rPr>
                <w:rFonts w:hint="eastAsia" w:ascii="宋体" w:hAnsi="宋体"/>
                <w:kern w:val="0"/>
                <w:sz w:val="16"/>
                <w:szCs w:val="16"/>
                <w:lang w:eastAsia="zh-CN"/>
              </w:rPr>
              <w:t>援疆办项目工作经费</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20.00</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r>
              <w:rPr>
                <w:rFonts w:hint="eastAsia" w:ascii="宋体" w:hAnsi="宋体"/>
                <w:kern w:val="0"/>
                <w:sz w:val="16"/>
                <w:szCs w:val="16"/>
                <w:lang w:val="en-US" w:eastAsia="zh-CN"/>
              </w:rPr>
              <w:t>20.00</w:t>
            </w:r>
          </w:p>
        </w:tc>
        <w:tc>
          <w:tcPr>
            <w:tcW w:w="480" w:type="dxa"/>
            <w:shd w:val="clear" w:color="auto" w:fill="auto"/>
            <w:vAlign w:val="center"/>
          </w:tcPr>
          <w:p>
            <w:pPr>
              <w:widowControl/>
              <w:jc w:val="center"/>
              <w:outlineLvl w:val="1"/>
              <w:rPr>
                <w:rFonts w:hint="eastAsia" w:ascii="宋体" w:hAnsi="宋体" w:eastAsia="宋体"/>
                <w:kern w:val="0"/>
                <w:sz w:val="16"/>
                <w:szCs w:val="16"/>
              </w:rPr>
            </w:pPr>
          </w:p>
        </w:tc>
        <w:tc>
          <w:tcPr>
            <w:tcW w:w="53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419" w:type="dxa"/>
            <w:shd w:val="clear" w:color="auto" w:fill="auto"/>
            <w:vAlign w:val="center"/>
          </w:tcPr>
          <w:p>
            <w:pPr>
              <w:widowControl/>
              <w:jc w:val="center"/>
              <w:outlineLvl w:val="1"/>
              <w:rPr>
                <w:rFonts w:hint="eastAsia" w:ascii="宋体" w:hAnsi="宋体" w:eastAsia="宋体"/>
                <w:kern w:val="0"/>
                <w:sz w:val="16"/>
                <w:szCs w:val="16"/>
              </w:rPr>
            </w:pPr>
          </w:p>
        </w:tc>
        <w:tc>
          <w:tcPr>
            <w:tcW w:w="578"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20" w:type="dxa"/>
            <w:shd w:val="clear" w:color="auto" w:fill="auto"/>
            <w:vAlign w:val="center"/>
          </w:tcPr>
          <w:p>
            <w:pPr>
              <w:widowControl/>
              <w:jc w:val="center"/>
              <w:outlineLvl w:val="1"/>
              <w:rPr>
                <w:rFonts w:hint="eastAsia" w:ascii="宋体" w:hAnsi="宋体" w:eastAsia="宋体"/>
                <w:kern w:val="0"/>
                <w:sz w:val="16"/>
                <w:szCs w:val="16"/>
              </w:rPr>
            </w:pPr>
          </w:p>
        </w:tc>
        <w:tc>
          <w:tcPr>
            <w:tcW w:w="468" w:type="dxa"/>
            <w:gridSpan w:val="2"/>
            <w:shd w:val="clear" w:color="auto" w:fill="auto"/>
            <w:vAlign w:val="center"/>
          </w:tcPr>
          <w:p>
            <w:pPr>
              <w:widowControl/>
              <w:jc w:val="center"/>
              <w:outlineLvl w:val="1"/>
              <w:rPr>
                <w:rFonts w:hint="eastAsia" w:ascii="宋体" w:hAnsi="宋体" w:eastAsia="宋体"/>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rPr>
            </w:pP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48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3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1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6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rPr>
            </w:pP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48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3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1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6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lang w:eastAsia="zh-CN"/>
              </w:rPr>
            </w:pP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480" w:type="dxa"/>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539" w:type="dxa"/>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57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419" w:type="dxa"/>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578" w:type="dxa"/>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c>
          <w:tcPr>
            <w:tcW w:w="46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rPr>
            </w:pPr>
          </w:p>
        </w:tc>
        <w:tc>
          <w:tcPr>
            <w:tcW w:w="750" w:type="dxa"/>
            <w:shd w:val="clear" w:color="auto" w:fill="auto"/>
            <w:vAlign w:val="center"/>
          </w:tcPr>
          <w:p>
            <w:pPr>
              <w:widowControl/>
              <w:jc w:val="center"/>
              <w:outlineLvl w:val="1"/>
              <w:rPr>
                <w:rFonts w:hint="eastAsia" w:ascii="宋体" w:hAnsi="宋体" w:eastAsia="宋体"/>
                <w:kern w:val="0"/>
                <w:sz w:val="16"/>
                <w:szCs w:val="16"/>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48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3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19"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68" w:type="dxa"/>
            <w:gridSpan w:val="2"/>
            <w:shd w:val="clear" w:color="auto" w:fill="auto"/>
            <w:vAlign w:val="top"/>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368" w:type="dxa"/>
            <w:shd w:val="clear" w:color="auto" w:fill="auto"/>
            <w:vAlign w:val="center"/>
          </w:tcPr>
          <w:p>
            <w:pPr>
              <w:widowControl/>
              <w:jc w:val="center"/>
              <w:outlineLvl w:val="1"/>
              <w:rPr>
                <w:rFonts w:hint="eastAsia" w:ascii="宋体" w:hAnsi="宋体" w:eastAsia="宋体"/>
                <w:kern w:val="0"/>
                <w:sz w:val="16"/>
                <w:szCs w:val="16"/>
              </w:rPr>
            </w:pPr>
          </w:p>
        </w:tc>
        <w:tc>
          <w:tcPr>
            <w:tcW w:w="409" w:type="dxa"/>
            <w:shd w:val="clear" w:color="auto" w:fill="auto"/>
            <w:vAlign w:val="center"/>
          </w:tcPr>
          <w:p>
            <w:pPr>
              <w:widowControl/>
              <w:jc w:val="center"/>
              <w:outlineLvl w:val="1"/>
              <w:rPr>
                <w:rFonts w:hint="eastAsia" w:ascii="宋体" w:hAnsi="宋体" w:eastAsia="宋体"/>
                <w:kern w:val="0"/>
                <w:sz w:val="16"/>
                <w:szCs w:val="16"/>
              </w:rPr>
            </w:pPr>
          </w:p>
        </w:tc>
        <w:tc>
          <w:tcPr>
            <w:tcW w:w="1173" w:type="dxa"/>
            <w:shd w:val="clear" w:color="auto" w:fill="auto"/>
            <w:vAlign w:val="center"/>
          </w:tcPr>
          <w:p>
            <w:pPr>
              <w:widowControl/>
              <w:jc w:val="center"/>
              <w:outlineLvl w:val="1"/>
              <w:rPr>
                <w:rFonts w:hint="eastAsia" w:ascii="宋体" w:hAnsi="宋体" w:eastAsia="宋体"/>
                <w:kern w:val="0"/>
                <w:sz w:val="16"/>
                <w:szCs w:val="16"/>
              </w:rPr>
            </w:pPr>
          </w:p>
        </w:tc>
        <w:tc>
          <w:tcPr>
            <w:tcW w:w="1037" w:type="dxa"/>
            <w:shd w:val="clear" w:color="auto" w:fill="auto"/>
            <w:vAlign w:val="center"/>
          </w:tcPr>
          <w:p>
            <w:pPr>
              <w:widowControl/>
              <w:jc w:val="both"/>
              <w:outlineLvl w:val="1"/>
              <w:rPr>
                <w:rFonts w:hint="eastAsia" w:ascii="宋体" w:hAnsi="宋体" w:eastAsia="宋体"/>
                <w:kern w:val="0"/>
                <w:sz w:val="16"/>
                <w:szCs w:val="16"/>
              </w:rPr>
            </w:pPr>
          </w:p>
        </w:tc>
        <w:tc>
          <w:tcPr>
            <w:tcW w:w="750" w:type="dxa"/>
            <w:shd w:val="clear" w:color="auto" w:fill="auto"/>
            <w:vAlign w:val="center"/>
          </w:tcPr>
          <w:p>
            <w:pPr>
              <w:widowControl/>
              <w:jc w:val="center"/>
              <w:outlineLvl w:val="1"/>
              <w:rPr>
                <w:rFonts w:hint="eastAsia" w:ascii="宋体" w:hAnsi="宋体" w:eastAsia="宋体"/>
                <w:kern w:val="0"/>
                <w:sz w:val="16"/>
                <w:szCs w:val="16"/>
              </w:rPr>
            </w:pP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eastAsia" w:ascii="宋体" w:hAnsi="宋体" w:eastAsia="宋体"/>
                <w:kern w:val="0"/>
                <w:sz w:val="16"/>
                <w:szCs w:val="16"/>
              </w:rPr>
            </w:pPr>
          </w:p>
        </w:tc>
        <w:tc>
          <w:tcPr>
            <w:tcW w:w="480"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39"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gridSpan w:val="2"/>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19"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578"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20" w:type="dxa"/>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c>
          <w:tcPr>
            <w:tcW w:w="468" w:type="dxa"/>
            <w:gridSpan w:val="2"/>
            <w:shd w:val="clear" w:color="auto" w:fill="auto"/>
          </w:tcPr>
          <w:p>
            <w:pPr>
              <w:widowControl/>
              <w:jc w:val="left"/>
              <w:outlineLvl w:val="1"/>
              <w:rPr>
                <w:rFonts w:hint="eastAsia" w:ascii="宋体" w:hAnsi="宋体" w:eastAsia="宋体"/>
                <w:kern w:val="0"/>
                <w:sz w:val="16"/>
                <w:szCs w:val="16"/>
              </w:rPr>
            </w:pPr>
            <w:r>
              <w:rPr>
                <w:rFonts w:hint="eastAsia" w:ascii="宋体" w:hAnsi="宋体" w:eastAsia="宋体"/>
                <w:kern w:val="0"/>
                <w:sz w:val="16"/>
                <w:szCs w:val="16"/>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center"/>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center"/>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480" w:type="dxa"/>
            <w:shd w:val="clear" w:color="auto" w:fill="auto"/>
          </w:tcPr>
          <w:p>
            <w:pPr>
              <w:widowControl/>
              <w:jc w:val="left"/>
              <w:outlineLvl w:val="1"/>
              <w:rPr>
                <w:rFonts w:ascii="仿宋_GB2312" w:hAnsi="宋体" w:eastAsia="仿宋_GB2312"/>
                <w:kern w:val="0"/>
                <w:sz w:val="32"/>
                <w:szCs w:val="32"/>
              </w:rPr>
            </w:pPr>
          </w:p>
        </w:tc>
        <w:tc>
          <w:tcPr>
            <w:tcW w:w="539"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center"/>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368" w:type="dxa"/>
            <w:shd w:val="clear" w:color="auto" w:fill="auto"/>
            <w:vAlign w:val="center"/>
          </w:tcPr>
          <w:p>
            <w:pPr>
              <w:widowControl/>
              <w:jc w:val="center"/>
              <w:outlineLvl w:val="1"/>
              <w:rPr>
                <w:rFonts w:ascii="仿宋_GB2312" w:hAnsi="宋体" w:eastAsia="仿宋_GB2312"/>
                <w:kern w:val="0"/>
                <w:sz w:val="32"/>
                <w:szCs w:val="32"/>
              </w:rPr>
            </w:pPr>
          </w:p>
        </w:tc>
        <w:tc>
          <w:tcPr>
            <w:tcW w:w="409" w:type="dxa"/>
            <w:shd w:val="clear" w:color="auto" w:fill="auto"/>
            <w:vAlign w:val="center"/>
          </w:tcPr>
          <w:p>
            <w:pPr>
              <w:widowControl/>
              <w:jc w:val="both"/>
              <w:outlineLvl w:val="1"/>
              <w:rPr>
                <w:rFonts w:ascii="仿宋_GB2312" w:hAnsi="宋体" w:eastAsia="仿宋_GB2312"/>
                <w:kern w:val="0"/>
                <w:sz w:val="32"/>
                <w:szCs w:val="32"/>
              </w:rPr>
            </w:pPr>
          </w:p>
        </w:tc>
        <w:tc>
          <w:tcPr>
            <w:tcW w:w="1173" w:type="dxa"/>
            <w:shd w:val="clear" w:color="auto" w:fill="auto"/>
            <w:vAlign w:val="center"/>
          </w:tcPr>
          <w:p>
            <w:pPr>
              <w:widowControl/>
              <w:jc w:val="center"/>
              <w:outlineLvl w:val="1"/>
              <w:rPr>
                <w:rFonts w:ascii="仿宋_GB2312" w:hAnsi="宋体" w:eastAsia="仿宋_GB2312"/>
                <w:kern w:val="0"/>
                <w:sz w:val="32"/>
                <w:szCs w:val="32"/>
              </w:rPr>
            </w:pPr>
          </w:p>
        </w:tc>
        <w:tc>
          <w:tcPr>
            <w:tcW w:w="1037" w:type="dxa"/>
            <w:shd w:val="clear" w:color="auto" w:fill="auto"/>
            <w:vAlign w:val="center"/>
          </w:tcPr>
          <w:p>
            <w:pPr>
              <w:widowControl/>
              <w:jc w:val="both"/>
              <w:outlineLvl w:val="1"/>
              <w:rPr>
                <w:rFonts w:ascii="仿宋_GB2312" w:hAnsi="宋体" w:eastAsia="仿宋_GB2312"/>
                <w:kern w:val="0"/>
                <w:sz w:val="32"/>
                <w:szCs w:val="32"/>
              </w:rPr>
            </w:pPr>
          </w:p>
        </w:tc>
        <w:tc>
          <w:tcPr>
            <w:tcW w:w="750" w:type="dxa"/>
            <w:shd w:val="clear" w:color="auto" w:fill="auto"/>
            <w:vAlign w:val="center"/>
          </w:tcPr>
          <w:p>
            <w:pPr>
              <w:widowControl/>
              <w:jc w:val="center"/>
              <w:outlineLvl w:val="1"/>
              <w:rPr>
                <w:rFonts w:ascii="仿宋_GB2312" w:hAnsi="宋体" w:eastAsia="仿宋_GB2312"/>
                <w:kern w:val="0"/>
                <w:sz w:val="32"/>
                <w:szCs w:val="32"/>
              </w:rPr>
            </w:pPr>
          </w:p>
        </w:tc>
        <w:tc>
          <w:tcPr>
            <w:tcW w:w="569" w:type="dxa"/>
            <w:gridSpan w:val="2"/>
            <w:shd w:val="clear" w:color="auto" w:fill="auto"/>
            <w:vAlign w:val="center"/>
          </w:tcPr>
          <w:p>
            <w:pPr>
              <w:widowControl/>
              <w:jc w:val="center"/>
              <w:outlineLvl w:val="1"/>
              <w:rPr>
                <w:rFonts w:ascii="仿宋_GB2312" w:hAnsi="宋体" w:eastAsia="仿宋_GB2312"/>
                <w:kern w:val="0"/>
                <w:sz w:val="32"/>
                <w:szCs w:val="32"/>
              </w:rPr>
            </w:pPr>
          </w:p>
        </w:tc>
        <w:tc>
          <w:tcPr>
            <w:tcW w:w="821" w:type="dxa"/>
            <w:shd w:val="clear" w:color="auto" w:fill="auto"/>
            <w:vAlign w:val="center"/>
          </w:tcPr>
          <w:p>
            <w:pPr>
              <w:widowControl/>
              <w:jc w:val="center"/>
              <w:outlineLvl w:val="1"/>
              <w:rPr>
                <w:rFonts w:ascii="仿宋_GB2312" w:hAnsi="宋体" w:eastAsia="仿宋_GB2312"/>
                <w:kern w:val="0"/>
                <w:sz w:val="32"/>
                <w:szCs w:val="32"/>
              </w:rPr>
            </w:pPr>
          </w:p>
        </w:tc>
        <w:tc>
          <w:tcPr>
            <w:tcW w:w="48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511"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6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73"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037"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68.28</w:t>
            </w:r>
          </w:p>
        </w:tc>
        <w:tc>
          <w:tcPr>
            <w:tcW w:w="569" w:type="dxa"/>
            <w:gridSpan w:val="2"/>
            <w:shd w:val="clear" w:color="auto" w:fill="auto"/>
            <w:vAlign w:val="center"/>
          </w:tcPr>
          <w:p>
            <w:pPr>
              <w:widowControl/>
              <w:jc w:val="center"/>
              <w:outlineLvl w:val="1"/>
              <w:rPr>
                <w:rFonts w:hint="eastAsia" w:ascii="宋体" w:hAnsi="宋体" w:eastAsia="宋体"/>
                <w:kern w:val="0"/>
                <w:sz w:val="16"/>
                <w:szCs w:val="16"/>
              </w:rPr>
            </w:pPr>
          </w:p>
        </w:tc>
        <w:tc>
          <w:tcPr>
            <w:tcW w:w="821"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35</w:t>
            </w:r>
          </w:p>
        </w:tc>
        <w:tc>
          <w:tcPr>
            <w:tcW w:w="480" w:type="dxa"/>
            <w:shd w:val="clear" w:color="auto" w:fill="auto"/>
            <w:vAlign w:val="center"/>
          </w:tcPr>
          <w:p>
            <w:pPr>
              <w:widowControl/>
              <w:jc w:val="center"/>
              <w:outlineLvl w:val="1"/>
              <w:rPr>
                <w:rFonts w:hint="default" w:ascii="宋体" w:hAnsi="宋体" w:eastAsia="宋体"/>
                <w:kern w:val="0"/>
                <w:sz w:val="16"/>
                <w:szCs w:val="16"/>
                <w:lang w:val="en-US" w:eastAsia="zh-CN"/>
              </w:rPr>
            </w:pPr>
            <w:r>
              <w:rPr>
                <w:rFonts w:hint="eastAsia" w:ascii="宋体" w:hAnsi="宋体"/>
                <w:kern w:val="0"/>
                <w:sz w:val="16"/>
                <w:szCs w:val="16"/>
                <w:lang w:val="en-US" w:eastAsia="zh-CN"/>
              </w:rPr>
              <w:t>33.28</w:t>
            </w:r>
          </w:p>
        </w:tc>
        <w:tc>
          <w:tcPr>
            <w:tcW w:w="53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hint="eastAsia" w:ascii="仿宋_GB2312" w:hAnsi="宋体" w:eastAsia="仿宋_GB2312"/>
          <w:b/>
          <w:kern w:val="0"/>
          <w:sz w:val="32"/>
          <w:szCs w:val="32"/>
        </w:rPr>
      </w:pPr>
    </w:p>
    <w:p>
      <w:pPr>
        <w:pStyle w:val="2"/>
        <w:rPr>
          <w:rFonts w:hint="eastAsia"/>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单位：万元</w:t>
      </w:r>
    </w:p>
    <w:tbl>
      <w:tblPr>
        <w:tblStyle w:val="12"/>
        <w:tblW w:w="9240" w:type="dxa"/>
        <w:jc w:val="center"/>
        <w:tblInd w:w="0"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jc w:val="center"/>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jc w:val="center"/>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13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13</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r>
      <w:tr>
        <w:tblPrEx>
          <w:tblLayout w:type="fixed"/>
          <w:tblCellMar>
            <w:top w:w="0" w:type="dxa"/>
            <w:left w:w="108" w:type="dxa"/>
            <w:bottom w:w="0" w:type="dxa"/>
            <w:right w:w="108" w:type="dxa"/>
          </w:tblCellMar>
        </w:tblPrEx>
        <w:trPr>
          <w:trHeight w:val="558"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rPr>
            </w:pPr>
          </w:p>
        </w:tc>
      </w:tr>
      <w:tr>
        <w:tblPrEx>
          <w:tblLayout w:type="fixed"/>
          <w:tblCellMar>
            <w:top w:w="0" w:type="dxa"/>
            <w:left w:w="108" w:type="dxa"/>
            <w:bottom w:w="0" w:type="dxa"/>
            <w:right w:w="108" w:type="dxa"/>
          </w:tblCellMar>
        </w:tblPrEx>
        <w:trPr>
          <w:trHeight w:val="555"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3"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83" w:hRule="atLeast"/>
          <w:jc w:val="center"/>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13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13</w:t>
            </w: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克州发展和改革委员会</w:t>
      </w: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单位：万元</w:t>
      </w:r>
    </w:p>
    <w:tbl>
      <w:tblPr>
        <w:tblStyle w:val="12"/>
        <w:tblW w:w="9214" w:type="dxa"/>
        <w:jc w:val="center"/>
        <w:tblInd w:w="0"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jc w:val="center"/>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jc w:val="center"/>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jc w:val="center"/>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eastAsia="zh-CN"/>
        </w:rPr>
        <w:t>本年没有使用政府性预算拨款安排支出，故此表为空表</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74" w:bottom="1984" w:left="1587"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2019</w:t>
      </w:r>
      <w:r>
        <w:rPr>
          <w:rFonts w:hint="eastAsia" w:ascii="黑体" w:hAnsi="黑体" w:eastAsia="黑体"/>
          <w:kern w:val="0"/>
          <w:sz w:val="32"/>
          <w:szCs w:val="32"/>
        </w:rPr>
        <w:t>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年收支预算情况的总体说明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按照全口径预算的原则，</w:t>
      </w:r>
      <w:r>
        <w:rPr>
          <w:rFonts w:hint="default" w:ascii="Times New Roman" w:hAnsi="Times New Roman" w:eastAsia="仿宋_GB2312" w:cs="Times New Roman"/>
          <w:kern w:val="0"/>
          <w:sz w:val="32"/>
          <w:szCs w:val="32"/>
          <w:lang w:eastAsia="zh-CN"/>
        </w:rPr>
        <w:t>克州</w:t>
      </w:r>
      <w:r>
        <w:rPr>
          <w:rFonts w:hint="eastAsia" w:eastAsia="仿宋_GB2312" w:cs="Times New Roman"/>
          <w:kern w:val="0"/>
          <w:sz w:val="32"/>
          <w:szCs w:val="32"/>
          <w:lang w:eastAsia="zh-CN"/>
        </w:rPr>
        <w:t>发展和改革委员会</w:t>
      </w: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年所有收入和支出均纳入部门预算管理。</w:t>
      </w:r>
      <w:r>
        <w:rPr>
          <w:rFonts w:hint="eastAsia" w:eastAsia="仿宋_GB2312" w:cs="Times New Roman"/>
          <w:kern w:val="0"/>
          <w:sz w:val="32"/>
          <w:szCs w:val="32"/>
          <w:lang w:val="en-US" w:eastAsia="zh-CN"/>
        </w:rPr>
        <w:t>2019年</w:t>
      </w:r>
      <w:r>
        <w:rPr>
          <w:rFonts w:hint="default" w:ascii="Times New Roman" w:hAnsi="Times New Roman" w:eastAsia="仿宋_GB2312" w:cs="Times New Roman"/>
          <w:kern w:val="0"/>
          <w:sz w:val="32"/>
          <w:szCs w:val="32"/>
        </w:rPr>
        <w:t>收支总预算</w:t>
      </w:r>
      <w:r>
        <w:rPr>
          <w:rFonts w:hint="eastAsia" w:eastAsia="仿宋_GB2312" w:cs="Times New Roman"/>
          <w:kern w:val="0"/>
          <w:sz w:val="32"/>
          <w:szCs w:val="32"/>
          <w:lang w:val="en-US" w:eastAsia="zh-CN"/>
        </w:rPr>
        <w:t>1072.43</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收入预算包括：一般公共预算</w:t>
      </w:r>
      <w:r>
        <w:rPr>
          <w:rFonts w:hint="eastAsia" w:eastAsia="仿宋_GB2312" w:cs="Times New Roman"/>
          <w:kern w:val="0"/>
          <w:sz w:val="32"/>
          <w:szCs w:val="32"/>
          <w:lang w:val="en-US" w:eastAsia="zh-CN"/>
        </w:rPr>
        <w:t>625.68</w:t>
      </w:r>
      <w:r>
        <w:rPr>
          <w:rFonts w:hint="default" w:ascii="Times New Roman" w:hAnsi="Times New Roman" w:eastAsia="仿宋_GB2312" w:cs="Times New Roman"/>
          <w:kern w:val="0"/>
          <w:sz w:val="32"/>
          <w:szCs w:val="32"/>
          <w:lang w:val="en-US" w:eastAsia="zh-CN"/>
        </w:rPr>
        <w:t>万元</w:t>
      </w:r>
      <w:r>
        <w:rPr>
          <w:rFonts w:hint="default" w:ascii="Times New Roman" w:hAnsi="Times New Roman" w:eastAsia="仿宋_GB2312" w:cs="Times New Roman"/>
          <w:kern w:val="0"/>
          <w:sz w:val="32"/>
          <w:szCs w:val="32"/>
        </w:rPr>
        <w:t>、单位上年结余（不包括国库集中支付额度结余）</w:t>
      </w:r>
      <w:r>
        <w:rPr>
          <w:rFonts w:hint="eastAsia" w:eastAsia="仿宋_GB2312" w:cs="Times New Roman"/>
          <w:kern w:val="0"/>
          <w:sz w:val="32"/>
          <w:szCs w:val="32"/>
          <w:lang w:val="en-US" w:eastAsia="zh-CN"/>
        </w:rPr>
        <w:t>446.75</w:t>
      </w:r>
      <w:r>
        <w:rPr>
          <w:rFonts w:hint="default" w:ascii="Times New Roman" w:hAnsi="Times New Roman" w:eastAsia="仿宋_GB2312" w:cs="Times New Roman"/>
          <w:kern w:val="0"/>
          <w:sz w:val="32"/>
          <w:szCs w:val="32"/>
          <w:lang w:val="en-US" w:eastAsia="zh-CN"/>
        </w:rPr>
        <w:t>万元</w:t>
      </w:r>
      <w:r>
        <w:rPr>
          <w:rFonts w:hint="default" w:ascii="Times New Roman" w:hAnsi="Times New Roman" w:eastAsia="仿宋_GB2312" w:cs="Times New Roman"/>
          <w:kern w:val="0"/>
          <w:sz w:val="32"/>
          <w:szCs w:val="32"/>
        </w:rPr>
        <w:t>等。</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支出预算包括：一般公共服务支出</w:t>
      </w:r>
      <w:r>
        <w:rPr>
          <w:rFonts w:hint="eastAsia" w:eastAsia="仿宋_GB2312" w:cs="Times New Roman"/>
          <w:kern w:val="0"/>
          <w:sz w:val="32"/>
          <w:szCs w:val="32"/>
          <w:lang w:val="en-US" w:eastAsia="zh-CN"/>
        </w:rPr>
        <w:t>1072.43</w:t>
      </w:r>
      <w:r>
        <w:rPr>
          <w:rFonts w:hint="default" w:ascii="Times New Roman" w:hAnsi="Times New Roman" w:eastAsia="仿宋_GB2312" w:cs="Times New Roman"/>
          <w:kern w:val="0"/>
          <w:sz w:val="32"/>
          <w:szCs w:val="32"/>
          <w:lang w:val="en-US" w:eastAsia="zh-CN"/>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年收入预算情况说明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收入预算</w:t>
      </w:r>
      <w:r>
        <w:rPr>
          <w:rFonts w:hint="eastAsia" w:eastAsia="仿宋_GB2312" w:cs="Times New Roman"/>
          <w:kern w:val="0"/>
          <w:sz w:val="32"/>
          <w:szCs w:val="32"/>
          <w:lang w:val="en-US" w:eastAsia="zh-CN"/>
        </w:rPr>
        <w:t>1072.43</w:t>
      </w:r>
      <w:r>
        <w:rPr>
          <w:rFonts w:hint="default" w:ascii="Times New Roman" w:hAnsi="Times New Roman" w:eastAsia="仿宋_GB2312" w:cs="Times New Roman"/>
          <w:kern w:val="0"/>
          <w:sz w:val="32"/>
          <w:szCs w:val="32"/>
        </w:rPr>
        <w:t>万元，其中：</w:t>
      </w:r>
    </w:p>
    <w:p>
      <w:pPr>
        <w:spacing w:line="560" w:lineRule="exact"/>
        <w:jc w:val="left"/>
        <w:rPr>
          <w:rFonts w:hint="eastAsia" w:ascii="仿宋_GB2312" w:hAnsi="仿宋_GB2312" w:eastAsia="仿宋_GB2312" w:cs="Times New Roman"/>
          <w:kern w:val="0"/>
          <w:sz w:val="32"/>
          <w:szCs w:val="32"/>
          <w:lang w:eastAsia="zh-CN"/>
        </w:rPr>
      </w:pPr>
      <w:r>
        <w:rPr>
          <w:rFonts w:hint="default" w:ascii="Times New Roman" w:hAnsi="Times New Roman" w:eastAsia="仿宋_GB2312" w:cs="Times New Roman"/>
          <w:kern w:val="0"/>
          <w:sz w:val="32"/>
          <w:szCs w:val="32"/>
        </w:rPr>
        <w:t>一般公共预算</w:t>
      </w:r>
      <w:r>
        <w:rPr>
          <w:rFonts w:hint="eastAsia" w:eastAsia="仿宋_GB2312" w:cs="Times New Roman"/>
          <w:kern w:val="0"/>
          <w:sz w:val="32"/>
          <w:szCs w:val="32"/>
          <w:lang w:val="en-US" w:eastAsia="zh-CN"/>
        </w:rPr>
        <w:t>625.68</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58.34</w:t>
      </w:r>
      <w:r>
        <w:rPr>
          <w:rFonts w:hint="default" w:ascii="Times New Roman" w:hAnsi="Times New Roman" w:eastAsia="仿宋_GB2312" w:cs="Times New Roman"/>
          <w:kern w:val="0"/>
          <w:sz w:val="32"/>
          <w:szCs w:val="32"/>
        </w:rPr>
        <w:t>%，比上年增加</w:t>
      </w:r>
      <w:r>
        <w:rPr>
          <w:rFonts w:hint="eastAsia" w:eastAsia="仿宋_GB2312" w:cs="Times New Roman"/>
          <w:kern w:val="0"/>
          <w:sz w:val="32"/>
          <w:szCs w:val="32"/>
          <w:lang w:val="en-US" w:eastAsia="zh-CN"/>
        </w:rPr>
        <w:t>82.74</w:t>
      </w:r>
      <w:r>
        <w:rPr>
          <w:rFonts w:hint="default" w:ascii="Times New Roman" w:hAnsi="Times New Roman" w:eastAsia="仿宋_GB2312" w:cs="Times New Roman"/>
          <w:kern w:val="0"/>
          <w:sz w:val="32"/>
          <w:szCs w:val="32"/>
        </w:rPr>
        <w:t>万元，主要原因是</w:t>
      </w:r>
      <w:r>
        <w:rPr>
          <w:rFonts w:hint="default" w:ascii="Times New Roman" w:hAnsi="Times New Roman" w:eastAsia="仿宋_GB2312" w:cs="Times New Roman"/>
          <w:kern w:val="0"/>
          <w:sz w:val="32"/>
          <w:szCs w:val="32"/>
          <w:lang w:eastAsia="zh-CN"/>
        </w:rPr>
        <w:t>：</w:t>
      </w:r>
      <w:r>
        <w:rPr>
          <w:rFonts w:hint="eastAsia" w:ascii="仿宋_GB2312" w:hAnsi="仿宋_GB2312" w:eastAsia="仿宋_GB2312"/>
          <w:sz w:val="32"/>
          <w:szCs w:val="32"/>
          <w:lang w:eastAsia="zh-CN"/>
        </w:rPr>
        <w:t>工资按新标准核算，单位职工工资增长。</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政府性基金预算0万元，占0%，比上年增加(减少) 0万元，主要原因是:无此项预算。</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单位上年结余446.75万元，比上年增加399.75万元，增长850.53%，主要原因是:克州军粮应急保障中心建设项目，煤矿矿区总规及环评所需前期经费，粮食仓储设施维修资金，粮食援疆资金，粮食局历史遗留欠款所需资金，江苏援疆送学克州宏观经济资金，江苏援疆送学克州宏观经济资金等项目前期费下拨的时间较晚，项目资金未能按时完成支付，造成资金结余，根据签约合同协议的要求，项目剩余尾款将于2019年继续支付。</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年支出预算情况说明</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克州发改委2019年支出预算1072.43万元，其中:基本支出582.52万元，占54.32%，比上年增加116.90万元。主要原因是:工资按新标准核算，单位职工工资增长。</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项目支出489.91万元，占45.68%，比上年增加365.59万元，主要原因是:克州军粮应急保障中心建设项目，煤矿矿区总规及环评所需前期经费，粮食仓储设施维修资金，粮食援疆资金，粮食局历史遗留欠款所需资金，江苏援疆送学克州宏观经济资金，江苏援疆送学克州宏观经济资金等项目前期费等2018年结余项目纳入2019年预算，根据签约合同协议的要求，项目剩余尾款将于2019年继续支付。</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克州发展和改革委员会</w:t>
      </w:r>
      <w:r>
        <w:rPr>
          <w:rFonts w:hint="eastAsia" w:ascii="黑体" w:hAnsi="黑体" w:eastAsia="黑体" w:cs="宋体"/>
          <w:bCs/>
          <w:kern w:val="0"/>
          <w:sz w:val="32"/>
          <w:szCs w:val="32"/>
          <w:lang w:val="en-US" w:eastAsia="zh-CN"/>
        </w:rPr>
        <w:t>2019</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hint="eastAsia"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年财政拨款收支总预算</w:t>
      </w:r>
      <w:r>
        <w:rPr>
          <w:rFonts w:hint="eastAsia" w:eastAsia="仿宋_GB2312" w:cs="Times New Roman"/>
          <w:kern w:val="0"/>
          <w:sz w:val="32"/>
          <w:szCs w:val="32"/>
          <w:lang w:val="en-US" w:eastAsia="zh-CN"/>
        </w:rPr>
        <w:t>625.68</w:t>
      </w:r>
      <w:r>
        <w:rPr>
          <w:rFonts w:hint="default" w:ascii="Times New Roman" w:hAnsi="Times New Roman" w:eastAsia="仿宋_GB2312" w:cs="Times New Roman"/>
          <w:kern w:val="0"/>
          <w:sz w:val="32"/>
          <w:szCs w:val="32"/>
        </w:rPr>
        <w:t>万元。</w:t>
      </w:r>
      <w:r>
        <w:rPr>
          <w:rFonts w:hint="eastAsia" w:eastAsia="仿宋_GB2312" w:cs="Times New Roman"/>
          <w:kern w:val="0"/>
          <w:sz w:val="32"/>
          <w:szCs w:val="32"/>
          <w:lang w:eastAsia="zh-CN"/>
        </w:rPr>
        <w:t>克州发展和改革委员会</w:t>
      </w:r>
      <w:r>
        <w:rPr>
          <w:rFonts w:hint="default" w:ascii="Times New Roman" w:hAnsi="Times New Roman" w:eastAsia="仿宋_GB2312" w:cs="Times New Roman"/>
          <w:spacing w:val="-6"/>
          <w:kern w:val="0"/>
          <w:sz w:val="32"/>
          <w:szCs w:val="32"/>
        </w:rPr>
        <w:t>收入全部为一般公共预算拨款，无政府性基金预算拨款。</w:t>
      </w:r>
    </w:p>
    <w:p>
      <w:pPr>
        <w:pStyle w:val="2"/>
        <w:ind w:left="0" w:leftChars="0"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黑体" w:eastAsia="黑体" w:cs="宋体"/>
          <w:bCs/>
          <w:kern w:val="0"/>
          <w:sz w:val="32"/>
          <w:szCs w:val="32"/>
          <w:lang w:eastAsia="zh-CN"/>
        </w:rPr>
        <w:t>克州发展和改革委员会</w:t>
      </w:r>
      <w:r>
        <w:rPr>
          <w:rFonts w:hint="eastAsia" w:ascii="黑体" w:hAnsi="黑体" w:eastAsia="黑体" w:cs="宋体"/>
          <w:bCs/>
          <w:kern w:val="0"/>
          <w:sz w:val="32"/>
          <w:szCs w:val="32"/>
          <w:lang w:val="en-US" w:eastAsia="zh-CN"/>
        </w:rPr>
        <w:t>2019</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ind w:firstLine="640" w:firstLineChars="200"/>
        <w:rPr>
          <w:rFonts w:hint="eastAsia"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年一般公共预算拨款基本支出</w:t>
      </w:r>
      <w:r>
        <w:rPr>
          <w:rFonts w:hint="eastAsia" w:eastAsia="仿宋_GB2312" w:cs="Times New Roman"/>
          <w:kern w:val="0"/>
          <w:sz w:val="32"/>
          <w:szCs w:val="32"/>
          <w:lang w:val="en-US" w:eastAsia="zh-CN"/>
        </w:rPr>
        <w:t>557.40</w:t>
      </w:r>
      <w:r>
        <w:rPr>
          <w:rFonts w:hint="default" w:ascii="Times New Roman" w:hAnsi="Times New Roman" w:eastAsia="仿宋_GB2312" w:cs="Times New Roman"/>
          <w:kern w:val="0"/>
          <w:sz w:val="32"/>
          <w:szCs w:val="32"/>
        </w:rPr>
        <w:t>万元，比上年执行数</w:t>
      </w:r>
      <w:r>
        <w:rPr>
          <w:rFonts w:hint="eastAsia" w:eastAsia="仿宋_GB2312" w:cs="Times New Roman"/>
          <w:kern w:val="0"/>
          <w:sz w:val="32"/>
          <w:szCs w:val="32"/>
          <w:lang w:eastAsia="zh-CN"/>
        </w:rPr>
        <w:t>减少</w:t>
      </w:r>
      <w:r>
        <w:rPr>
          <w:rFonts w:hint="eastAsia" w:eastAsia="仿宋_GB2312" w:cs="Times New Roman"/>
          <w:kern w:val="0"/>
          <w:sz w:val="32"/>
          <w:szCs w:val="32"/>
          <w:lang w:val="en-US" w:eastAsia="zh-CN"/>
        </w:rPr>
        <w:t>75.57</w:t>
      </w:r>
      <w:r>
        <w:rPr>
          <w:rFonts w:hint="default" w:ascii="Times New Roman" w:hAnsi="Times New Roman" w:eastAsia="仿宋_GB2312" w:cs="Times New Roman"/>
          <w:kern w:val="0"/>
          <w:sz w:val="32"/>
          <w:szCs w:val="32"/>
        </w:rPr>
        <w:t>万元，</w:t>
      </w:r>
      <w:r>
        <w:rPr>
          <w:rFonts w:hint="eastAsia" w:eastAsia="仿宋_GB2312" w:cs="Times New Roman"/>
          <w:kern w:val="0"/>
          <w:sz w:val="32"/>
          <w:szCs w:val="32"/>
          <w:lang w:eastAsia="zh-CN"/>
        </w:rPr>
        <w:t>降低</w:t>
      </w:r>
      <w:r>
        <w:rPr>
          <w:rFonts w:hint="eastAsia" w:eastAsia="仿宋_GB2312" w:cs="Times New Roman"/>
          <w:kern w:val="0"/>
          <w:sz w:val="32"/>
          <w:szCs w:val="32"/>
          <w:lang w:val="en-US" w:eastAsia="zh-CN"/>
        </w:rPr>
        <w:t>11.94</w:t>
      </w:r>
      <w:r>
        <w:rPr>
          <w:rFonts w:hint="default" w:ascii="Times New Roman" w:hAnsi="Times New Roman" w:eastAsia="仿宋_GB2312" w:cs="Times New Roman"/>
          <w:kern w:val="0"/>
          <w:sz w:val="32"/>
          <w:szCs w:val="32"/>
        </w:rPr>
        <w:t>%。主要原因是</w:t>
      </w:r>
      <w:r>
        <w:rPr>
          <w:rFonts w:hint="eastAsia" w:eastAsia="仿宋_GB2312" w:cs="Times New Roman"/>
          <w:kern w:val="0"/>
          <w:sz w:val="32"/>
          <w:szCs w:val="32"/>
          <w:lang w:eastAsia="zh-CN"/>
        </w:rPr>
        <w:t>：</w:t>
      </w:r>
      <w:r>
        <w:rPr>
          <w:rFonts w:hint="eastAsia" w:ascii="仿宋_GB2312" w:hAnsi="仿宋_GB2312" w:eastAsia="仿宋_GB2312"/>
          <w:sz w:val="32"/>
          <w:szCs w:val="32"/>
          <w:lang w:eastAsia="zh-CN"/>
        </w:rPr>
        <w:t>2018年补发2017年艰苦地区补贴、2019年在职人数减少和退休人员增加、按照节约经费的要求2019年经费进行合理压缩。</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一般公共服务（</w:t>
      </w:r>
      <w:r>
        <w:rPr>
          <w:rFonts w:hint="default" w:ascii="Times New Roman" w:hAnsi="Times New Roman" w:eastAsia="仿宋_GB2312" w:cs="Times New Roman"/>
          <w:kern w:val="0"/>
          <w:sz w:val="32"/>
          <w:szCs w:val="32"/>
          <w:lang w:val="en-US" w:eastAsia="zh-CN"/>
        </w:rPr>
        <w:t>201</w:t>
      </w:r>
      <w:r>
        <w:rPr>
          <w:rFonts w:hint="default" w:ascii="Times New Roman" w:hAnsi="Times New Roman" w:eastAsia="仿宋_GB2312" w:cs="Times New Roman"/>
          <w:kern w:val="0"/>
          <w:sz w:val="32"/>
          <w:szCs w:val="32"/>
        </w:rPr>
        <w:t>）</w:t>
      </w:r>
      <w:r>
        <w:rPr>
          <w:rFonts w:hint="eastAsia" w:eastAsia="楷体_GB2312" w:cs="Times New Roman"/>
          <w:b w:val="0"/>
          <w:bCs/>
          <w:sz w:val="32"/>
          <w:szCs w:val="32"/>
          <w:lang w:val="en-US" w:eastAsia="zh-CN"/>
        </w:rPr>
        <w:t>625.68</w:t>
      </w:r>
      <w:r>
        <w:rPr>
          <w:rFonts w:hint="default" w:ascii="Times New Roman" w:hAnsi="Times New Roman" w:eastAsia="仿宋_GB2312" w:cs="Times New Roman"/>
          <w:kern w:val="0"/>
          <w:sz w:val="32"/>
          <w:szCs w:val="32"/>
        </w:rPr>
        <w:t>万元，占</w:t>
      </w:r>
      <w:r>
        <w:rPr>
          <w:rFonts w:hint="eastAsia" w:eastAsia="仿宋_GB2312" w:cs="Times New Roman"/>
          <w:kern w:val="0"/>
          <w:sz w:val="32"/>
          <w:szCs w:val="32"/>
          <w:lang w:val="en-US" w:eastAsia="zh-CN"/>
        </w:rPr>
        <w:t>100</w:t>
      </w:r>
      <w:r>
        <w:rPr>
          <w:rFonts w:hint="default" w:ascii="Times New Roman" w:hAnsi="Times New Roman" w:eastAsia="仿宋_GB2312" w:cs="Times New Roman"/>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ind w:firstLine="640" w:firstLineChars="200"/>
        <w:rPr>
          <w:rFonts w:ascii="仿宋_GB2312" w:hAnsi="宋体" w:eastAsia="仿宋_GB2312" w:cs="宋体"/>
          <w:kern w:val="0"/>
          <w:sz w:val="32"/>
          <w:szCs w:val="32"/>
        </w:rPr>
      </w:pPr>
      <w:r>
        <w:rPr>
          <w:rFonts w:hint="eastAsia" w:ascii="仿宋_GB2312" w:hAnsi="仿宋_GB2312" w:eastAsia="仿宋_GB2312"/>
          <w:sz w:val="32"/>
          <w:szCs w:val="32"/>
          <w:lang w:eastAsia="zh-CN"/>
        </w:rPr>
        <w:t>一般公共服务201(类)发展与改革04(款)行政运行01(项):2019年预算数为625.68万元，比上年执行数减少398.21万元，降低38.89%。主要原因是:2018年补发2017年艰苦地区补贴、2019年在职人数减少和退休人员增加、按照节约经费的要求2019年经费进行合理压缩。</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年一般公共预算基本支出情况说明</w:t>
      </w:r>
    </w:p>
    <w:p>
      <w:pPr>
        <w:spacing w:line="560" w:lineRule="exact"/>
        <w:ind w:firstLine="640" w:firstLineChars="200"/>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克州发展和改革委员会</w:t>
      </w: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 xml:space="preserve">年一般公共预算基本支出 </w:t>
      </w:r>
      <w:r>
        <w:rPr>
          <w:rFonts w:hint="eastAsia" w:eastAsia="仿宋_GB2312" w:cs="Times New Roman"/>
          <w:kern w:val="0"/>
          <w:sz w:val="32"/>
          <w:szCs w:val="32"/>
          <w:lang w:val="en-US" w:eastAsia="zh-CN"/>
        </w:rPr>
        <w:t>557.40</w:t>
      </w:r>
      <w:r>
        <w:rPr>
          <w:rFonts w:hint="default" w:ascii="Times New Roman" w:hAnsi="Times New Roman" w:eastAsia="仿宋_GB2312" w:cs="Times New Roman"/>
          <w:kern w:val="0"/>
          <w:sz w:val="32"/>
          <w:szCs w:val="32"/>
        </w:rPr>
        <w:t>万元，其中：</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人员经费499.65万元，主要包括:基本工资124.84万元、津贴补贴181.96万元、奖金10.40万元、机关事业单位基本养老保险缴费53.81万元、其他社会保障缴费42.76万元、住房公积金31.65万元、退休费35.66万元、抚恤金4.09万元、生活补助10.34万元、奖励金4.13万元等。</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公用经费57.75万元，主要包括:办公费10万元、印刷费2万元、水费0.60万元、电费3万元、邮电费4.30万元、取暖费8.05万元、维修(护)费1.25万元、公务接待费3万元、劳务费11.30万元、工会经费1.84万元、福利费3.30万元、公务用车运行维护费7万元、办公设备购置2.10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克州发展和改革委员会</w:t>
      </w:r>
      <w:r>
        <w:rPr>
          <w:rFonts w:hint="eastAsia" w:ascii="黑体" w:hAnsi="宋体" w:eastAsia="黑体" w:cs="宋体"/>
          <w:kern w:val="0"/>
          <w:sz w:val="32"/>
          <w:szCs w:val="32"/>
          <w:lang w:val="en-US" w:eastAsia="zh-CN"/>
        </w:rPr>
        <w:t>2019</w:t>
      </w:r>
      <w:r>
        <w:rPr>
          <w:rFonts w:hint="eastAsia" w:ascii="黑体" w:hAnsi="宋体" w:eastAsia="黑体" w:cs="宋体"/>
          <w:kern w:val="0"/>
          <w:sz w:val="32"/>
          <w:szCs w:val="32"/>
        </w:rPr>
        <w:t>年项目支出情况说明</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eastAsia" w:eastAsia="仿宋_GB2312" w:cs="Times New Roman"/>
          <w:b/>
          <w:bCs/>
          <w:sz w:val="32"/>
          <w:szCs w:val="32"/>
          <w:lang w:val="en-US" w:eastAsia="zh-CN"/>
        </w:rPr>
        <w:t>1</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rPr>
        <w:t>项目名称：</w:t>
      </w:r>
      <w:r>
        <w:rPr>
          <w:rFonts w:hint="eastAsia" w:ascii="仿宋_GB2312" w:hAnsi="仿宋_GB2312" w:eastAsia="仿宋_GB2312"/>
          <w:sz w:val="32"/>
          <w:szCs w:val="32"/>
          <w:lang w:eastAsia="zh-CN"/>
        </w:rPr>
        <w:t>群众工作人员补助经费</w:t>
      </w:r>
    </w:p>
    <w:p>
      <w:pPr>
        <w:spacing w:line="56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设立的政策依据：</w:t>
      </w:r>
      <w:r>
        <w:rPr>
          <w:rFonts w:hint="eastAsia" w:ascii="仿宋_GB2312" w:hAnsi="仿宋_GB2312" w:eastAsia="仿宋_GB2312"/>
          <w:sz w:val="32"/>
          <w:szCs w:val="32"/>
          <w:lang w:eastAsia="zh-CN"/>
        </w:rPr>
        <w:t>自治区、自治州相关会议重要指示精神</w:t>
      </w:r>
      <w:r>
        <w:rPr>
          <w:rFonts w:hint="default" w:ascii="Times New Roman" w:hAnsi="Times New Roman" w:eastAsia="仿宋_GB2312" w:cs="Times New Roman"/>
          <w:bCs/>
          <w:sz w:val="32"/>
          <w:szCs w:val="32"/>
          <w:lang w:eastAsia="zh-CN"/>
        </w:rPr>
        <w:t>。</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预算安排规模：</w:t>
      </w:r>
      <w:r>
        <w:rPr>
          <w:rFonts w:hint="eastAsia" w:eastAsia="仿宋_GB2312" w:cs="Times New Roman"/>
          <w:kern w:val="0"/>
          <w:sz w:val="32"/>
          <w:szCs w:val="32"/>
          <w:lang w:val="en-US" w:eastAsia="zh-CN"/>
        </w:rPr>
        <w:t>33.28</w:t>
      </w:r>
      <w:r>
        <w:rPr>
          <w:rFonts w:hint="default" w:ascii="Times New Roman" w:hAnsi="Times New Roman" w:eastAsia="仿宋_GB2312" w:cs="Times New Roman"/>
          <w:sz w:val="32"/>
          <w:szCs w:val="32"/>
          <w:lang w:val="en-US" w:eastAsia="zh-CN"/>
        </w:rPr>
        <w:t>万元</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ind w:firstLine="640" w:firstLineChars="200"/>
        <w:rPr>
          <w:rFonts w:hint="eastAsia" w:ascii="仿宋_GB2312" w:hAnsi="仿宋_GB2312" w:eastAsia="仿宋_GB2312"/>
          <w:sz w:val="32"/>
          <w:szCs w:val="32"/>
          <w:lang w:eastAsia="zh-CN"/>
        </w:rPr>
      </w:pPr>
      <w:r>
        <w:rPr>
          <w:rFonts w:hint="default" w:ascii="Times New Roman" w:hAnsi="Times New Roman" w:eastAsia="仿宋_GB2312" w:cs="Times New Roman"/>
          <w:sz w:val="32"/>
          <w:szCs w:val="32"/>
        </w:rPr>
        <w:t>资金分配情况：</w:t>
      </w:r>
      <w:r>
        <w:rPr>
          <w:rFonts w:hint="eastAsia" w:ascii="仿宋_GB2312" w:hAnsi="仿宋_GB2312" w:eastAsia="仿宋_GB2312"/>
          <w:sz w:val="32"/>
          <w:szCs w:val="32"/>
          <w:lang w:eastAsia="zh-CN"/>
        </w:rPr>
        <w:t>群众工作队员每人每月1800元支教人</w:t>
      </w:r>
    </w:p>
    <w:p>
      <w:pPr>
        <w:rPr>
          <w:rFonts w:hint="default" w:ascii="Times New Roman" w:hAnsi="Times New Roman" w:eastAsia="仿宋_GB2312" w:cs="Times New Roman"/>
          <w:sz w:val="32"/>
          <w:lang w:val="en-US" w:eastAsia="zh-CN"/>
        </w:rPr>
      </w:pPr>
      <w:r>
        <w:rPr>
          <w:rFonts w:hint="eastAsia" w:ascii="仿宋_GB2312" w:hAnsi="仿宋_GB2312" w:eastAsia="仿宋_GB2312"/>
          <w:sz w:val="32"/>
          <w:szCs w:val="32"/>
          <w:lang w:eastAsia="zh-CN"/>
        </w:rPr>
        <w:t>员每人每月2600元</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资金来源:财政拨款</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补贴人数:15人</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补贴标准:10个月*2人*2600元/月</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eastAsia="zh-CN"/>
        </w:rPr>
        <w:t>5.2万元(支教)，12个月*13人*1800元/月</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eastAsia="zh-CN"/>
        </w:rPr>
        <w:t>28.08万元</w:t>
      </w:r>
      <w:bookmarkStart w:id="0" w:name="_GoBack"/>
      <w:bookmarkEnd w:id="0"/>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补贴范围:克州发改系统(2个单位)</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补贴方式:项目资金</w:t>
      </w:r>
    </w:p>
    <w:p>
      <w:pPr>
        <w:ind w:firstLine="640" w:firstLineChars="200"/>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发放程序:“群众工作组上报人员名单-财务科落实</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lang w:eastAsia="zh-CN"/>
        </w:rPr>
        <w:t>领导审批-州财政局审批-财务室支付</w:t>
      </w:r>
    </w:p>
    <w:p>
      <w:pPr>
        <w:ind w:firstLine="640" w:firstLineChars="200"/>
        <w:rPr>
          <w:rFonts w:hint="default"/>
        </w:rPr>
      </w:pPr>
      <w:r>
        <w:rPr>
          <w:rFonts w:hint="eastAsia" w:ascii="仿宋_GB2312" w:hAnsi="仿宋_GB2312" w:eastAsia="仿宋_GB2312"/>
          <w:sz w:val="32"/>
          <w:szCs w:val="32"/>
          <w:lang w:eastAsia="zh-CN"/>
        </w:rPr>
        <w:t>受益人群和社会效益:发改系统职工;落实自治区党委(政府)及自治州党委(政府)下达的任务，解决农牧民困难，维护肖鲁克村社会和谐，促进肖鲁克村发展，维护新疆社会稳定。</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eastAsia" w:eastAsia="仿宋_GB2312" w:cs="Times New Roman"/>
          <w:b/>
          <w:bCs/>
          <w:sz w:val="32"/>
          <w:szCs w:val="32"/>
          <w:lang w:val="en-US" w:eastAsia="zh-CN"/>
        </w:rPr>
        <w:t>2</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节能减排专项经费</w:t>
      </w:r>
    </w:p>
    <w:p>
      <w:pPr>
        <w:ind w:firstLine="640" w:firstLineChars="200"/>
        <w:rPr>
          <w:rFonts w:hint="eastAsia" w:ascii="Times New Roman" w:hAnsi="Times New Roman" w:eastAsia="仿宋" w:cs="Times New Roman"/>
          <w:b w:val="0"/>
          <w:bCs/>
          <w:spacing w:val="0"/>
          <w:kern w:val="2"/>
          <w:sz w:val="32"/>
          <w:szCs w:val="32"/>
          <w:lang w:val="en-US" w:eastAsia="zh-CN"/>
        </w:rPr>
      </w:pPr>
      <w:r>
        <w:rPr>
          <w:rFonts w:hint="default" w:ascii="Times New Roman" w:hAnsi="Times New Roman" w:eastAsia="仿宋_GB2312" w:cs="Times New Roman"/>
          <w:sz w:val="32"/>
          <w:szCs w:val="32"/>
        </w:rPr>
        <w:t>设立的政策依据：</w:t>
      </w:r>
      <w:r>
        <w:rPr>
          <w:rFonts w:hint="eastAsia" w:ascii="仿宋_GB2312" w:hAnsi="仿宋_GB2312" w:eastAsia="仿宋_GB2312"/>
          <w:sz w:val="32"/>
          <w:szCs w:val="32"/>
          <w:lang w:eastAsia="zh-CN"/>
        </w:rPr>
        <w:t>节能减排项目工作需要。</w:t>
      </w:r>
    </w:p>
    <w:p>
      <w:pPr>
        <w:spacing w:line="560" w:lineRule="exact"/>
        <w:ind w:firstLine="640" w:firstLineChars="2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sz w:val="32"/>
          <w:szCs w:val="32"/>
        </w:rPr>
        <w:t>预算安排规模：</w:t>
      </w:r>
      <w:r>
        <w:rPr>
          <w:rFonts w:hint="default" w:ascii="Times New Roman" w:hAnsi="Times New Roman" w:eastAsia="仿宋_GB2312" w:cs="Times New Roman"/>
          <w:kern w:val="0"/>
          <w:sz w:val="32"/>
          <w:szCs w:val="32"/>
          <w:lang w:val="en-US" w:eastAsia="zh-CN"/>
        </w:rPr>
        <w:t>5万元</w:t>
      </w:r>
    </w:p>
    <w:p>
      <w:pPr>
        <w:spacing w:line="56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spacing w:val="0"/>
          <w:kern w:val="2"/>
          <w:sz w:val="32"/>
          <w:szCs w:val="32"/>
          <w:lang w:val="en-US" w:eastAsia="zh-CN"/>
        </w:rPr>
      </w:pPr>
      <w:r>
        <w:rPr>
          <w:rFonts w:hint="default" w:ascii="Times New Roman" w:hAnsi="Times New Roman" w:eastAsia="仿宋_GB2312" w:cs="Times New Roman"/>
          <w:sz w:val="32"/>
          <w:szCs w:val="32"/>
        </w:rPr>
        <w:t>资金分配情况：</w:t>
      </w:r>
      <w:r>
        <w:rPr>
          <w:rFonts w:hint="eastAsia" w:ascii="仿宋_GB2312" w:hAnsi="仿宋_GB2312" w:eastAsia="仿宋_GB2312"/>
          <w:sz w:val="32"/>
          <w:szCs w:val="32"/>
          <w:lang w:eastAsia="zh-CN"/>
        </w:rPr>
        <w:t>对2019年我州重点用能单位进行节能监察并对列入国家“白千万”家重点用能单位进行考核;对2019年全社会固定资产投资项目进行节能审查</w:t>
      </w:r>
      <w:r>
        <w:rPr>
          <w:rFonts w:hint="default" w:ascii="Times New Roman" w:hAnsi="Times New Roman" w:eastAsia="仿宋_GB2312" w:cs="Times New Roman"/>
          <w:b w:val="0"/>
          <w:bCs/>
          <w:spacing w:val="0"/>
          <w:kern w:val="2"/>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eastAsia" w:eastAsia="仿宋_GB2312" w:cs="Times New Roman"/>
          <w:b/>
          <w:bCs/>
          <w:sz w:val="32"/>
          <w:szCs w:val="32"/>
          <w:lang w:val="en-US" w:eastAsia="zh-CN"/>
        </w:rPr>
        <w:t>3</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群众工作经费</w:t>
      </w:r>
    </w:p>
    <w:p>
      <w:pPr>
        <w:spacing w:line="560" w:lineRule="exact"/>
        <w:ind w:firstLine="640" w:firstLineChars="200"/>
        <w:rPr>
          <w:rFonts w:hint="eastAsia" w:ascii="仿宋_GB2312" w:hAnsi="仿宋_GB2312" w:eastAsia="仿宋_GB2312"/>
          <w:sz w:val="32"/>
          <w:szCs w:val="32"/>
          <w:lang w:eastAsia="zh-CN"/>
        </w:rPr>
      </w:pPr>
      <w:r>
        <w:rPr>
          <w:rFonts w:hint="default" w:ascii="Times New Roman" w:hAnsi="Times New Roman" w:eastAsia="仿宋_GB2312" w:cs="Times New Roman"/>
          <w:sz w:val="32"/>
          <w:szCs w:val="32"/>
        </w:rPr>
        <w:t>设立的政策依据：</w:t>
      </w:r>
      <w:r>
        <w:rPr>
          <w:rFonts w:hint="eastAsia" w:ascii="仿宋_GB2312" w:hAnsi="仿宋_GB2312" w:eastAsia="仿宋_GB2312"/>
          <w:sz w:val="32"/>
          <w:szCs w:val="32"/>
          <w:lang w:eastAsia="zh-CN"/>
        </w:rPr>
        <w:t>自治区、自治州相关会议重要指示精神。</w:t>
      </w:r>
    </w:p>
    <w:p>
      <w:pPr>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预算安排规模：</w:t>
      </w:r>
      <w:r>
        <w:rPr>
          <w:rFonts w:hint="eastAsia" w:eastAsia="仿宋_GB2312" w:cs="Times New Roman"/>
          <w:kern w:val="0"/>
          <w:sz w:val="32"/>
          <w:szCs w:val="32"/>
          <w:lang w:val="en-US" w:eastAsia="zh-CN"/>
        </w:rPr>
        <w:t>10</w:t>
      </w:r>
      <w:r>
        <w:rPr>
          <w:rFonts w:hint="default" w:ascii="Times New Roman" w:hAnsi="Times New Roman" w:eastAsia="仿宋_GB2312" w:cs="Times New Roman"/>
          <w:sz w:val="32"/>
          <w:szCs w:val="32"/>
          <w:lang w:val="en-US" w:eastAsia="zh-CN"/>
        </w:rPr>
        <w:t>万元</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spacing w:line="560" w:lineRule="exact"/>
        <w:ind w:firstLine="640" w:firstLineChars="200"/>
        <w:jc w:val="left"/>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szCs w:val="32"/>
        </w:rPr>
        <w:t>资金分配情况：</w:t>
      </w:r>
      <w:r>
        <w:rPr>
          <w:rFonts w:hint="eastAsia" w:ascii="仿宋_GB2312" w:hAnsi="仿宋_GB2312" w:eastAsia="仿宋_GB2312"/>
          <w:sz w:val="32"/>
          <w:szCs w:val="32"/>
          <w:lang w:eastAsia="zh-CN"/>
        </w:rPr>
        <w:t>工作村(大村10万元，中村7万元)</w:t>
      </w:r>
      <w:r>
        <w:rPr>
          <w:rFonts w:hint="default" w:ascii="Times New Roman" w:hAnsi="Times New Roman" w:eastAsia="仿宋_GB2312" w:cs="Times New Roman"/>
          <w:sz w:val="32"/>
          <w:szCs w:val="32"/>
          <w:lang w:val="en-US" w:eastAsia="zh-CN"/>
        </w:rPr>
        <w:t>。</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年全年</w:t>
      </w:r>
    </w:p>
    <w:p>
      <w:pPr>
        <w:spacing w:line="560" w:lineRule="exact"/>
        <w:ind w:firstLine="643" w:firstLineChars="200"/>
        <w:rPr>
          <w:rFonts w:hint="default" w:ascii="Times New Roman" w:hAnsi="Times New Roman" w:eastAsia="仿宋_GB2312" w:cs="Times New Roman"/>
          <w:kern w:val="0"/>
          <w:sz w:val="32"/>
          <w:szCs w:val="32"/>
          <w:lang w:eastAsia="zh-CN"/>
        </w:rPr>
      </w:pPr>
      <w:r>
        <w:rPr>
          <w:rFonts w:hint="eastAsia" w:eastAsia="仿宋_GB2312" w:cs="Times New Roman"/>
          <w:b/>
          <w:bCs/>
          <w:sz w:val="32"/>
          <w:szCs w:val="32"/>
          <w:lang w:val="en-US" w:eastAsia="zh-CN"/>
        </w:rPr>
        <w:t>4</w:t>
      </w:r>
      <w:r>
        <w:rPr>
          <w:rFonts w:hint="default" w:ascii="Times New Roman" w:hAnsi="Times New Roman" w:eastAsia="仿宋_GB2312" w:cs="Times New Roman"/>
          <w:b/>
          <w:bCs/>
          <w:sz w:val="32"/>
          <w:szCs w:val="32"/>
          <w:lang w:val="en-US" w:eastAsia="zh-CN"/>
        </w:rPr>
        <w:t>、</w:t>
      </w:r>
      <w:r>
        <w:rPr>
          <w:rFonts w:hint="default" w:ascii="Times New Roman" w:hAnsi="Times New Roman" w:eastAsia="仿宋_GB2312" w:cs="Times New Roman"/>
          <w:sz w:val="32"/>
          <w:szCs w:val="32"/>
        </w:rPr>
        <w:t>项目名称：</w:t>
      </w:r>
      <w:r>
        <w:rPr>
          <w:rFonts w:hint="default" w:ascii="Times New Roman" w:hAnsi="Times New Roman" w:eastAsia="仿宋_GB2312" w:cs="Times New Roman"/>
          <w:kern w:val="0"/>
          <w:sz w:val="32"/>
          <w:szCs w:val="32"/>
          <w:lang w:eastAsia="zh-CN"/>
        </w:rPr>
        <w:t>援疆办项目工作经费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shd w:val="clear" w:fill="FFFFFF"/>
        </w:rPr>
      </w:pPr>
      <w:r>
        <w:rPr>
          <w:rFonts w:hint="default" w:ascii="Times New Roman" w:hAnsi="Times New Roman" w:eastAsia="仿宋_GB2312" w:cs="Times New Roman"/>
          <w:color w:val="auto"/>
          <w:sz w:val="32"/>
          <w:szCs w:val="32"/>
        </w:rPr>
        <w:t>设立的政策依据：</w:t>
      </w:r>
      <w:r>
        <w:rPr>
          <w:rFonts w:hint="eastAsia" w:eastAsia="仿宋_GB2312" w:cs="Times New Roman"/>
          <w:i w:val="0"/>
          <w:caps w:val="0"/>
          <w:color w:val="auto"/>
          <w:spacing w:val="0"/>
          <w:sz w:val="32"/>
          <w:szCs w:val="32"/>
          <w:shd w:val="clear" w:fill="FFFFFF"/>
          <w:lang w:eastAsia="zh-CN"/>
        </w:rPr>
        <w:t>援疆项目工作需要</w:t>
      </w:r>
      <w:r>
        <w:rPr>
          <w:rFonts w:hint="default" w:ascii="Times New Roman" w:hAnsi="Times New Roman" w:eastAsia="仿宋_GB2312" w:cs="Times New Roman"/>
          <w:i w:val="0"/>
          <w:caps w:val="0"/>
          <w:color w:val="auto"/>
          <w:spacing w:val="0"/>
          <w:sz w:val="32"/>
          <w:szCs w:val="32"/>
          <w:shd w:val="clear" w:fill="FFFFFF"/>
        </w:rPr>
        <w:t>。</w:t>
      </w:r>
    </w:p>
    <w:p>
      <w:pPr>
        <w:spacing w:line="560" w:lineRule="exact"/>
        <w:ind w:firstLine="640" w:firstLineChars="200"/>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sz w:val="32"/>
          <w:szCs w:val="32"/>
        </w:rPr>
        <w:t>预算安排规模：</w:t>
      </w:r>
      <w:r>
        <w:rPr>
          <w:rFonts w:hint="default" w:ascii="Times New Roman" w:hAnsi="Times New Roman" w:eastAsia="仿宋_GB2312" w:cs="Times New Roman"/>
          <w:color w:val="auto"/>
          <w:kern w:val="0"/>
          <w:sz w:val="32"/>
          <w:szCs w:val="32"/>
          <w:lang w:val="en-US" w:eastAsia="zh-CN"/>
        </w:rPr>
        <w:t>20万元</w:t>
      </w:r>
    </w:p>
    <w:p>
      <w:pPr>
        <w:spacing w:line="56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项目承担单位：</w:t>
      </w:r>
      <w:r>
        <w:rPr>
          <w:rFonts w:hint="default" w:ascii="Times New Roman" w:hAnsi="Times New Roman" w:eastAsia="仿宋_GB2312" w:cs="Times New Roman"/>
          <w:kern w:val="0"/>
          <w:sz w:val="32"/>
          <w:szCs w:val="32"/>
          <w:lang w:eastAsia="zh-CN"/>
        </w:rPr>
        <w:t>克州发展和改革委员会</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资金分配情况：</w:t>
      </w:r>
      <w:r>
        <w:rPr>
          <w:rFonts w:hint="eastAsia" w:ascii="仿宋_GB2312" w:hAnsi="仿宋_GB2312" w:eastAsia="仿宋_GB2312"/>
          <w:sz w:val="32"/>
          <w:szCs w:val="32"/>
          <w:lang w:eastAsia="zh-CN"/>
        </w:rPr>
        <w:t>主要用于援疆工作项目衔接的差旅费、公务接待费、公务用车维护费和项目资料印刷费、翻译费等其他商品服务支出相关费用。</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szCs w:val="32"/>
        </w:rPr>
        <w:t>资金执行时间：</w:t>
      </w:r>
      <w:r>
        <w:rPr>
          <w:rFonts w:hint="default" w:ascii="Times New Roman" w:hAnsi="Times New Roman" w:eastAsia="仿宋_GB2312" w:cs="Times New Roman"/>
          <w:kern w:val="0"/>
          <w:sz w:val="32"/>
          <w:szCs w:val="32"/>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年全年</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八、关于</w:t>
      </w:r>
      <w:r>
        <w:rPr>
          <w:rFonts w:hint="default" w:ascii="Times New Roman" w:hAnsi="Times New Roman" w:eastAsia="黑体" w:cs="Times New Roman"/>
          <w:kern w:val="0"/>
          <w:sz w:val="32"/>
          <w:szCs w:val="32"/>
          <w:lang w:eastAsia="zh-CN"/>
        </w:rPr>
        <w:t>克州发展和改革委员会</w:t>
      </w:r>
      <w:r>
        <w:rPr>
          <w:rFonts w:hint="default" w:ascii="Times New Roman" w:hAnsi="Times New Roman" w:eastAsia="黑体" w:cs="Times New Roman"/>
          <w:kern w:val="0"/>
          <w:sz w:val="32"/>
          <w:szCs w:val="32"/>
          <w:lang w:val="en-US" w:eastAsia="zh-CN"/>
        </w:rPr>
        <w:t>20</w:t>
      </w:r>
      <w:r>
        <w:rPr>
          <w:rFonts w:hint="eastAsia" w:eastAsia="黑体" w:cs="Times New Roman"/>
          <w:kern w:val="0"/>
          <w:sz w:val="32"/>
          <w:szCs w:val="32"/>
          <w:lang w:val="en-US" w:eastAsia="zh-CN"/>
        </w:rPr>
        <w:t>19</w:t>
      </w:r>
      <w:r>
        <w:rPr>
          <w:rFonts w:hint="default" w:ascii="Times New Roman" w:hAnsi="Times New Roman" w:eastAsia="黑体" w:cs="Times New Roman"/>
          <w:kern w:val="0"/>
          <w:sz w:val="32"/>
          <w:szCs w:val="32"/>
        </w:rPr>
        <w:t>年一般公共预算“三公”经费预算情况说明</w:t>
      </w:r>
    </w:p>
    <w:p>
      <w:pPr>
        <w:spacing w:line="560" w:lineRule="exact"/>
        <w:ind w:firstLine="640" w:firstLineChars="200"/>
        <w:rPr>
          <w:rFonts w:hint="eastAsia" w:ascii="仿宋_GB2312" w:hAnsi="仿宋_GB2312" w:eastAsia="仿宋_GB2312" w:cs="Times New Roman"/>
          <w:kern w:val="0"/>
          <w:sz w:val="32"/>
          <w:szCs w:val="32"/>
        </w:rPr>
      </w:pPr>
      <w:r>
        <w:rPr>
          <w:rFonts w:hint="eastAsia" w:ascii="仿宋_GB2312" w:hAnsi="仿宋_GB2312" w:eastAsia="仿宋_GB2312" w:cs="Times New Roman"/>
          <w:kern w:val="0"/>
          <w:sz w:val="32"/>
          <w:szCs w:val="32"/>
          <w:lang w:eastAsia="zh-CN"/>
        </w:rPr>
        <w:t>克州发展和改革委员会</w:t>
      </w:r>
      <w:r>
        <w:rPr>
          <w:rFonts w:hint="eastAsia" w:ascii="仿宋_GB2312" w:hAnsi="仿宋_GB2312" w:eastAsia="仿宋_GB2312" w:cs="Times New Roman"/>
          <w:kern w:val="0"/>
          <w:sz w:val="32"/>
          <w:szCs w:val="32"/>
          <w:lang w:val="en-US" w:eastAsia="zh-CN"/>
        </w:rPr>
        <w:t>2019</w:t>
      </w:r>
      <w:r>
        <w:rPr>
          <w:rFonts w:hint="eastAsia" w:ascii="仿宋_GB2312" w:hAnsi="仿宋_GB2312" w:eastAsia="仿宋_GB2312" w:cs="Times New Roman"/>
          <w:kern w:val="0"/>
          <w:sz w:val="32"/>
          <w:szCs w:val="32"/>
        </w:rPr>
        <w:t>年“三公”经费财政拨款预算数为</w:t>
      </w:r>
      <w:r>
        <w:rPr>
          <w:rFonts w:hint="eastAsia" w:ascii="仿宋_GB2312" w:hAnsi="仿宋_GB2312" w:eastAsia="仿宋_GB2312" w:cs="Times New Roman"/>
          <w:kern w:val="0"/>
          <w:sz w:val="32"/>
          <w:szCs w:val="32"/>
          <w:lang w:val="en-US" w:eastAsia="zh-CN"/>
        </w:rPr>
        <w:t>20</w:t>
      </w:r>
      <w:r>
        <w:rPr>
          <w:rFonts w:hint="eastAsia" w:ascii="仿宋_GB2312" w:hAnsi="仿宋_GB2312" w:eastAsia="仿宋_GB2312" w:cs="Times New Roman"/>
          <w:kern w:val="0"/>
          <w:sz w:val="32"/>
          <w:szCs w:val="32"/>
        </w:rPr>
        <w:t>万元，其中：因公出国（境）费</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万元，公务用车购置</w:t>
      </w:r>
      <w:r>
        <w:rPr>
          <w:rFonts w:hint="eastAsia" w:ascii="仿宋_GB2312" w:hAnsi="仿宋_GB2312" w:eastAsia="仿宋_GB2312" w:cs="Times New Roman"/>
          <w:kern w:val="0"/>
          <w:sz w:val="32"/>
          <w:szCs w:val="32"/>
          <w:lang w:val="en-US" w:eastAsia="zh-CN"/>
        </w:rPr>
        <w:t>0</w:t>
      </w:r>
      <w:r>
        <w:rPr>
          <w:rFonts w:hint="eastAsia" w:ascii="仿宋_GB2312" w:hAnsi="仿宋_GB2312" w:eastAsia="仿宋_GB2312" w:cs="Times New Roman"/>
          <w:kern w:val="0"/>
          <w:sz w:val="32"/>
          <w:szCs w:val="32"/>
        </w:rPr>
        <w:t>万元，公务用车运行费</w:t>
      </w:r>
      <w:r>
        <w:rPr>
          <w:rFonts w:hint="eastAsia" w:ascii="仿宋_GB2312" w:hAnsi="仿宋_GB2312" w:eastAsia="仿宋_GB2312" w:cs="Times New Roman"/>
          <w:kern w:val="0"/>
          <w:sz w:val="32"/>
          <w:szCs w:val="32"/>
          <w:lang w:val="en-US" w:eastAsia="zh-CN"/>
        </w:rPr>
        <w:t>13</w:t>
      </w:r>
      <w:r>
        <w:rPr>
          <w:rFonts w:hint="eastAsia" w:ascii="仿宋_GB2312" w:hAnsi="仿宋_GB2312" w:eastAsia="仿宋_GB2312" w:cs="Times New Roman"/>
          <w:kern w:val="0"/>
          <w:sz w:val="32"/>
          <w:szCs w:val="32"/>
        </w:rPr>
        <w:t>万元，公务接待费</w:t>
      </w:r>
      <w:r>
        <w:rPr>
          <w:rFonts w:hint="eastAsia" w:ascii="仿宋_GB2312" w:hAnsi="仿宋_GB2312" w:eastAsia="仿宋_GB2312" w:cs="Times New Roman"/>
          <w:kern w:val="0"/>
          <w:sz w:val="32"/>
          <w:szCs w:val="32"/>
          <w:lang w:val="en-US" w:eastAsia="zh-CN"/>
        </w:rPr>
        <w:t>7</w:t>
      </w:r>
      <w:r>
        <w:rPr>
          <w:rFonts w:hint="eastAsia" w:ascii="仿宋_GB2312" w:hAnsi="仿宋_GB2312" w:eastAsia="仿宋_GB2312" w:cs="Times New Roman"/>
          <w:kern w:val="0"/>
          <w:sz w:val="32"/>
          <w:szCs w:val="32"/>
        </w:rPr>
        <w:t>万元。</w:t>
      </w:r>
    </w:p>
    <w:p>
      <w:pPr>
        <w:ind w:firstLine="640" w:firstLineChars="200"/>
        <w:rPr>
          <w:rFonts w:hint="eastAsia" w:ascii="仿宋_GB2312" w:hAnsi="仿宋_GB2312" w:eastAsia="仿宋_GB2312" w:cs="Times New Roman"/>
          <w:kern w:val="0"/>
          <w:sz w:val="32"/>
          <w:szCs w:val="32"/>
        </w:rPr>
      </w:pPr>
      <w:r>
        <w:rPr>
          <w:rFonts w:hint="eastAsia" w:ascii="仿宋_GB2312" w:hAnsi="仿宋_GB2312" w:eastAsia="仿宋_GB2312"/>
          <w:sz w:val="32"/>
          <w:szCs w:val="32"/>
          <w:lang w:eastAsia="zh-CN"/>
        </w:rPr>
        <w:t>2019年“三公”经费财政拨款预算比上年增加1万元，其中:因公出国(境)费0万元，主要原因是:未安排预算;公务用车购置费为0万元，未安排预算;公务用车运行费增加1万元，主要原因:增加车辆维护费，因为我委2019年比2018年前往县(市)开展调研、督查、踏拗等工作大幅增加，车辆使用年限越来越长，维护保养次数增多，所以增加了公务用车维护费用。公务接待费增加(减少)0万元，主要原因是:与上年持平。</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九、关于</w:t>
      </w:r>
      <w:r>
        <w:rPr>
          <w:rFonts w:hint="default" w:ascii="Times New Roman" w:hAnsi="Times New Roman" w:eastAsia="黑体" w:cs="Times New Roman"/>
          <w:kern w:val="0"/>
          <w:sz w:val="32"/>
          <w:szCs w:val="32"/>
          <w:lang w:eastAsia="zh-CN"/>
        </w:rPr>
        <w:t>克州发展和改革委员会</w:t>
      </w:r>
      <w:r>
        <w:rPr>
          <w:rFonts w:hint="default" w:ascii="Times New Roman" w:hAnsi="Times New Roman" w:eastAsia="黑体" w:cs="Times New Roman"/>
          <w:kern w:val="0"/>
          <w:sz w:val="32"/>
          <w:szCs w:val="32"/>
          <w:lang w:val="en-US" w:eastAsia="zh-CN"/>
        </w:rPr>
        <w:t>20</w:t>
      </w:r>
      <w:r>
        <w:rPr>
          <w:rFonts w:hint="eastAsia" w:eastAsia="黑体" w:cs="Times New Roman"/>
          <w:kern w:val="0"/>
          <w:sz w:val="32"/>
          <w:szCs w:val="32"/>
          <w:lang w:val="en-US" w:eastAsia="zh-CN"/>
        </w:rPr>
        <w:t>19</w:t>
      </w:r>
      <w:r>
        <w:rPr>
          <w:rFonts w:hint="default" w:ascii="Times New Roman" w:hAnsi="Times New Roman" w:eastAsia="黑体" w:cs="Times New Roman"/>
          <w:kern w:val="0"/>
          <w:sz w:val="32"/>
          <w:szCs w:val="32"/>
        </w:rPr>
        <w:t>年政府性基金预算拨款情况说明</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年没有使用政府性基金预算拨款安排的支出，政府性基金预算支出情况表为空表。</w:t>
      </w:r>
    </w:p>
    <w:p>
      <w:pPr>
        <w:spacing w:line="56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十、其他重要事项的情况说明</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（一）机关运行经费情况</w:t>
      </w:r>
    </w:p>
    <w:p>
      <w:pPr>
        <w:ind w:firstLine="640" w:firstLineChars="200"/>
        <w:rPr>
          <w:rFonts w:hint="default" w:ascii="Times New Roman" w:hAnsi="Times New Roman" w:eastAsia="仿宋_GB2312" w:cs="Times New Roman"/>
          <w:kern w:val="0"/>
          <w:sz w:val="32"/>
          <w:szCs w:val="32"/>
        </w:rPr>
      </w:pPr>
      <w:r>
        <w:rPr>
          <w:rFonts w:hint="eastAsia" w:ascii="仿宋_GB2312" w:hAnsi="仿宋_GB2312" w:eastAsia="仿宋_GB2312"/>
          <w:sz w:val="32"/>
          <w:szCs w:val="32"/>
          <w:lang w:eastAsia="zh-CN"/>
        </w:rPr>
        <w:t>2019年，克州发改委本级及下属0家行政单位、0家参公管理事业单位和0家事业单位的机关运行经费财政拨款预算57.75万元，比上年预算增加17.28万元，增长42.70%.，主要原因是:上年结余支出增加，2018年工会经费，福利费，群众工作人员补助经费和群众工作经费因工作需要2018年未完成支出，准备2019年继续使用。</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（二）政府采购情况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政府采购预算</w:t>
      </w:r>
      <w:r>
        <w:rPr>
          <w:rFonts w:hint="eastAsia" w:eastAsia="仿宋_GB2312" w:cs="Times New Roman"/>
          <w:kern w:val="0"/>
          <w:sz w:val="32"/>
          <w:szCs w:val="32"/>
          <w:lang w:val="en-US" w:eastAsia="zh-CN"/>
        </w:rPr>
        <w:t>24.35</w:t>
      </w:r>
      <w:r>
        <w:rPr>
          <w:rFonts w:hint="default" w:ascii="Times New Roman" w:hAnsi="Times New Roman" w:eastAsia="仿宋_GB2312" w:cs="Times New Roman"/>
          <w:kern w:val="0"/>
          <w:sz w:val="32"/>
          <w:szCs w:val="32"/>
        </w:rPr>
        <w:t>万元，其中：政府采购货物预算</w:t>
      </w:r>
      <w:r>
        <w:rPr>
          <w:rFonts w:hint="eastAsia" w:eastAsia="仿宋_GB2312" w:cs="Times New Roman"/>
          <w:kern w:val="0"/>
          <w:sz w:val="32"/>
          <w:szCs w:val="32"/>
          <w:lang w:val="en-US" w:eastAsia="zh-CN"/>
        </w:rPr>
        <w:t>12.35</w:t>
      </w:r>
      <w:r>
        <w:rPr>
          <w:rFonts w:hint="default" w:ascii="Times New Roman" w:hAnsi="Times New Roman" w:eastAsia="仿宋_GB2312" w:cs="Times New Roman"/>
          <w:kern w:val="0"/>
          <w:sz w:val="32"/>
          <w:szCs w:val="32"/>
        </w:rPr>
        <w:t>万元，政府采购工程预算</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万元，政府采购服务预算</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sz w:val="32"/>
          <w:lang w:val="en-US" w:eastAsia="zh-CN"/>
        </w:rPr>
        <w:t>20</w:t>
      </w:r>
      <w:r>
        <w:rPr>
          <w:rFonts w:hint="eastAsia" w:eastAsia="仿宋_GB2312" w:cs="Times New Roman"/>
          <w:sz w:val="32"/>
          <w:lang w:val="en-US" w:eastAsia="zh-CN"/>
        </w:rPr>
        <w:t>19</w:t>
      </w:r>
      <w:r>
        <w:rPr>
          <w:rFonts w:hint="default" w:ascii="Times New Roman" w:hAnsi="Times New Roman" w:eastAsia="仿宋_GB2312" w:cs="Times New Roman"/>
          <w:sz w:val="32"/>
        </w:rPr>
        <w:t>年度本部门面向中小企业预留政府采购项目预算金额</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万元，其中：面向小微企业预留政府采购项目预算金额</w:t>
      </w:r>
      <w:r>
        <w:rPr>
          <w:rFonts w:hint="default" w:ascii="Times New Roman" w:hAnsi="Times New Roman" w:eastAsia="仿宋_GB2312" w:cs="Times New Roman"/>
          <w:sz w:val="32"/>
          <w:lang w:val="en-US" w:eastAsia="zh-CN"/>
        </w:rPr>
        <w:t>0</w:t>
      </w:r>
      <w:r>
        <w:rPr>
          <w:rFonts w:hint="default" w:ascii="Times New Roman" w:hAnsi="Times New Roman" w:eastAsia="仿宋_GB2312" w:cs="Times New Roman"/>
          <w:sz w:val="32"/>
        </w:rPr>
        <w:t>万元。</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（三）国有资产占用使用情况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截至</w:t>
      </w: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18</w:t>
      </w:r>
      <w:r>
        <w:rPr>
          <w:rFonts w:hint="default" w:ascii="Times New Roman" w:hAnsi="Times New Roman" w:eastAsia="仿宋_GB2312" w:cs="Times New Roman"/>
          <w:kern w:val="0"/>
          <w:sz w:val="32"/>
          <w:szCs w:val="32"/>
        </w:rPr>
        <w:t>年底，</w:t>
      </w:r>
      <w:r>
        <w:rPr>
          <w:rFonts w:hint="default" w:ascii="Times New Roman" w:hAnsi="Times New Roman" w:eastAsia="仿宋_GB2312" w:cs="Times New Roman"/>
          <w:kern w:val="0"/>
          <w:sz w:val="32"/>
          <w:szCs w:val="32"/>
          <w:lang w:eastAsia="zh-CN"/>
        </w:rPr>
        <w:t>克州发展和改革委员会</w:t>
      </w:r>
      <w:r>
        <w:rPr>
          <w:rFonts w:hint="default" w:ascii="Times New Roman" w:hAnsi="Times New Roman" w:eastAsia="仿宋_GB2312" w:cs="Times New Roman"/>
          <w:kern w:val="0"/>
          <w:sz w:val="32"/>
          <w:szCs w:val="32"/>
        </w:rPr>
        <w:t>占用使用国有资产总体情况为</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1.房屋</w:t>
      </w:r>
      <w:r>
        <w:rPr>
          <w:rFonts w:hint="eastAsia"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平方米，价值</w:t>
      </w:r>
      <w:r>
        <w:rPr>
          <w:rFonts w:hint="eastAsia"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2.车辆</w:t>
      </w:r>
      <w:r>
        <w:rPr>
          <w:rFonts w:hint="eastAsia"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辆，价值</w:t>
      </w:r>
      <w:r>
        <w:rPr>
          <w:rFonts w:hint="eastAsia" w:eastAsia="仿宋_GB2312" w:cs="Times New Roman"/>
          <w:kern w:val="0"/>
          <w:sz w:val="32"/>
          <w:szCs w:val="32"/>
          <w:lang w:val="en-US" w:eastAsia="zh-CN"/>
        </w:rPr>
        <w:t>48.11</w:t>
      </w:r>
      <w:r>
        <w:rPr>
          <w:rFonts w:hint="default" w:ascii="Times New Roman" w:hAnsi="Times New Roman" w:eastAsia="仿宋_GB2312" w:cs="Times New Roman"/>
          <w:kern w:val="0"/>
          <w:sz w:val="32"/>
          <w:szCs w:val="32"/>
        </w:rPr>
        <w:t>万元；其中：一般公务用车</w:t>
      </w:r>
      <w:r>
        <w:rPr>
          <w:rFonts w:hint="eastAsia"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辆，价值</w:t>
      </w:r>
      <w:r>
        <w:rPr>
          <w:rFonts w:hint="eastAsia" w:eastAsia="仿宋_GB2312" w:cs="Times New Roman"/>
          <w:kern w:val="0"/>
          <w:sz w:val="32"/>
          <w:szCs w:val="32"/>
          <w:lang w:val="en-US" w:eastAsia="zh-CN"/>
        </w:rPr>
        <w:t>21.75</w:t>
      </w:r>
      <w:r>
        <w:rPr>
          <w:rFonts w:hint="default" w:ascii="Times New Roman" w:hAnsi="Times New Roman" w:eastAsia="仿宋_GB2312" w:cs="Times New Roman"/>
          <w:kern w:val="0"/>
          <w:sz w:val="32"/>
          <w:szCs w:val="32"/>
        </w:rPr>
        <w:t>万元；执法执勤用车</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辆，价值</w:t>
      </w:r>
      <w:r>
        <w:rPr>
          <w:rFonts w:hint="eastAsia" w:eastAsia="仿宋_GB2312" w:cs="Times New Roman"/>
          <w:kern w:val="0"/>
          <w:sz w:val="32"/>
          <w:szCs w:val="32"/>
          <w:lang w:val="en-US" w:eastAsia="zh-CN"/>
        </w:rPr>
        <w:t>26.36</w:t>
      </w:r>
      <w:r>
        <w:rPr>
          <w:rFonts w:hint="default" w:ascii="Times New Roman" w:hAnsi="Times New Roman" w:eastAsia="仿宋_GB2312" w:cs="Times New Roman"/>
          <w:kern w:val="0"/>
          <w:sz w:val="32"/>
          <w:szCs w:val="32"/>
        </w:rPr>
        <w:t>万元；其他车辆</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辆，价值</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3.办公家具价值</w:t>
      </w:r>
      <w:r>
        <w:rPr>
          <w:rFonts w:hint="eastAsia" w:eastAsia="仿宋_GB2312" w:cs="Times New Roman"/>
          <w:kern w:val="0"/>
          <w:sz w:val="32"/>
          <w:szCs w:val="32"/>
          <w:lang w:val="en-US" w:eastAsia="zh-CN"/>
        </w:rPr>
        <w:t>29.18</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4.其他资产价值</w:t>
      </w:r>
      <w:r>
        <w:rPr>
          <w:rFonts w:hint="eastAsia" w:eastAsia="仿宋_GB2312" w:cs="Times New Roman"/>
          <w:kern w:val="0"/>
          <w:sz w:val="32"/>
          <w:szCs w:val="32"/>
          <w:lang w:val="en-US" w:eastAsia="zh-CN"/>
        </w:rPr>
        <w:t>158.95</w:t>
      </w:r>
      <w:r>
        <w:rPr>
          <w:rFonts w:hint="default" w:ascii="Times New Roman" w:hAnsi="Times New Roman" w:eastAsia="仿宋_GB2312" w:cs="Times New Roman"/>
          <w:kern w:val="0"/>
          <w:sz w:val="32"/>
          <w:szCs w:val="32"/>
        </w:rPr>
        <w:t>万元。</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单位价值50万元以上大型设备</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台（套），单位价值100万元以上大型设备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年部门预算未安排购置车辆经费（或安排购置车辆经费</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万元），安排购置50万元以上大型设备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台（套），单位价值100万元以上大型设备</w:t>
      </w:r>
      <w:r>
        <w:rPr>
          <w:rFonts w:hint="default" w:ascii="Times New Roman" w:hAnsi="Times New Roman" w:eastAsia="仿宋_GB2312" w:cs="Times New Roman"/>
          <w:kern w:val="0"/>
          <w:sz w:val="32"/>
          <w:szCs w:val="32"/>
          <w:lang w:val="en-US" w:eastAsia="zh-CN"/>
        </w:rPr>
        <w:t>0</w:t>
      </w:r>
      <w:r>
        <w:rPr>
          <w:rFonts w:hint="default" w:ascii="Times New Roman" w:hAnsi="Times New Roman" w:eastAsia="仿宋_GB2312" w:cs="Times New Roman"/>
          <w:kern w:val="0"/>
          <w:sz w:val="32"/>
          <w:szCs w:val="32"/>
        </w:rPr>
        <w:t>台（套）。</w:t>
      </w:r>
    </w:p>
    <w:p>
      <w:pPr>
        <w:spacing w:line="560" w:lineRule="exact"/>
        <w:ind w:firstLine="643" w:firstLineChars="200"/>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（四）预算绩效情况</w:t>
      </w:r>
    </w:p>
    <w:p>
      <w:pPr>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年度，本年度实行绩效管理的项目</w:t>
      </w:r>
      <w:r>
        <w:rPr>
          <w:rFonts w:hint="eastAsia"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个，涉及预算金额</w:t>
      </w:r>
      <w:r>
        <w:rPr>
          <w:rFonts w:hint="eastAsia" w:eastAsia="仿宋_GB2312" w:cs="Times New Roman"/>
          <w:kern w:val="0"/>
          <w:sz w:val="32"/>
          <w:szCs w:val="32"/>
          <w:lang w:val="en-US" w:eastAsia="zh-CN"/>
        </w:rPr>
        <w:t>68.28</w:t>
      </w:r>
      <w:r>
        <w:rPr>
          <w:rFonts w:hint="default" w:ascii="Times New Roman" w:hAnsi="Times New Roman" w:eastAsia="仿宋_GB2312" w:cs="Times New Roman"/>
          <w:kern w:val="0"/>
          <w:sz w:val="32"/>
          <w:szCs w:val="32"/>
        </w:rPr>
        <w:t>万元。具体情况见下表：</w:t>
      </w:r>
    </w:p>
    <w:p>
      <w:pPr>
        <w:widowControl/>
        <w:spacing w:line="600" w:lineRule="exact"/>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p>
      <w:pPr>
        <w:pStyle w:val="2"/>
        <w:rPr>
          <w:rFonts w:ascii="仿宋_GB2312" w:hAnsi="宋体" w:eastAsia="仿宋_GB2312" w:cs="宋体"/>
          <w:kern w:val="0"/>
          <w:sz w:val="32"/>
          <w:szCs w:val="32"/>
        </w:rPr>
      </w:pPr>
    </w:p>
    <w:tbl>
      <w:tblPr>
        <w:tblStyle w:val="12"/>
        <w:tblW w:w="8815" w:type="dxa"/>
        <w:jc w:val="center"/>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w:t>
            </w:r>
            <w:r>
              <w:rPr>
                <w:rFonts w:hint="eastAsia" w:ascii="宋体" w:hAnsi="宋体" w:cs="宋体"/>
                <w:color w:val="000000"/>
                <w:kern w:val="0"/>
                <w:sz w:val="22"/>
                <w:szCs w:val="22"/>
                <w:lang w:val="en-US" w:eastAsia="zh-CN" w:bidi="ar"/>
              </w:rPr>
              <w:t>19</w:t>
            </w:r>
            <w:r>
              <w:rPr>
                <w:rFonts w:hint="eastAsia" w:ascii="宋体" w:hAnsi="宋体" w:cs="宋体"/>
                <w:color w:val="000000"/>
                <w:kern w:val="0"/>
                <w:sz w:val="22"/>
                <w:szCs w:val="22"/>
                <w:lang w:bidi="ar"/>
              </w:rPr>
              <w:t>年）</w:t>
            </w:r>
          </w:p>
        </w:tc>
      </w:tr>
      <w:tr>
        <w:tblPrEx>
          <w:tblLayout w:type="fixed"/>
          <w:tblCellMar>
            <w:top w:w="0" w:type="dxa"/>
            <w:left w:w="0" w:type="dxa"/>
            <w:bottom w:w="0" w:type="dxa"/>
            <w:right w:w="0"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ind w:firstLine="1080" w:firstLineChars="600"/>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克州发展和改革委员会</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ind w:firstLine="360" w:firstLineChars="200"/>
              <w:jc w:val="left"/>
              <w:textAlignment w:val="center"/>
              <w:rPr>
                <w:rFonts w:hint="eastAsia" w:ascii="宋体" w:hAnsi="宋体" w:eastAsia="宋体" w:cs="宋体"/>
                <w:color w:val="000000"/>
                <w:sz w:val="18"/>
                <w:szCs w:val="18"/>
                <w:lang w:eastAsia="zh-CN"/>
              </w:rPr>
            </w:pPr>
            <w:r>
              <w:rPr>
                <w:rFonts w:hint="eastAsia" w:ascii="宋体" w:hAnsi="宋体" w:cs="宋体"/>
                <w:color w:val="000000"/>
                <w:kern w:val="0"/>
                <w:sz w:val="18"/>
                <w:szCs w:val="18"/>
                <w:lang w:eastAsia="zh-CN" w:bidi="ar"/>
              </w:rPr>
              <w:t>群众工作人员补助经费</w:t>
            </w:r>
          </w:p>
        </w:tc>
      </w:tr>
      <w:tr>
        <w:tblPrEx>
          <w:tblLayout w:type="fixed"/>
          <w:tblCellMar>
            <w:top w:w="0" w:type="dxa"/>
            <w:left w:w="0" w:type="dxa"/>
            <w:bottom w:w="0" w:type="dxa"/>
            <w:right w:w="0" w:type="dxa"/>
          </w:tblCellMar>
        </w:tblPrEx>
        <w:trPr>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33.28</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 xml:space="preserve">    33.28</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180" w:firstLineChars="100"/>
              <w:jc w:val="left"/>
              <w:rPr>
                <w:rFonts w:ascii="宋体" w:hAnsi="宋体" w:cs="宋体"/>
                <w:color w:val="000000"/>
                <w:sz w:val="18"/>
                <w:szCs w:val="18"/>
              </w:rPr>
            </w:pPr>
            <w:r>
              <w:rPr>
                <w:rFonts w:hint="eastAsia" w:ascii="宋体" w:hAnsi="宋体" w:cs="宋体"/>
                <w:color w:val="000000"/>
                <w:sz w:val="18"/>
                <w:szCs w:val="18"/>
                <w:lang w:eastAsia="zh-CN"/>
              </w:rPr>
              <w:t>深入学习习近平总书记系列重要讲话精神，深入开展群众工作，切实为农民群众办实事好事，让农民群众深切感受到党的温暖和关怀</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8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成本</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群众工作人员补助经费（万元）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22.08</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支教人员补助经费</w:t>
            </w:r>
            <w:r>
              <w:rPr>
                <w:rFonts w:hint="eastAsia" w:ascii="宋体" w:hAnsi="宋体" w:cs="宋体"/>
                <w:color w:val="000000"/>
                <w:sz w:val="18"/>
                <w:szCs w:val="18"/>
              </w:rPr>
              <w:t>（</w:t>
            </w:r>
            <w:r>
              <w:rPr>
                <w:rFonts w:hint="eastAsia" w:ascii="宋体" w:hAnsi="宋体" w:cs="宋体"/>
                <w:color w:val="000000"/>
                <w:sz w:val="18"/>
                <w:szCs w:val="18"/>
                <w:lang w:eastAsia="zh-CN"/>
              </w:rPr>
              <w:t>万元</w:t>
            </w:r>
            <w:r>
              <w:rPr>
                <w:rFonts w:hint="eastAsia" w:ascii="宋体" w:hAnsi="宋体" w:cs="宋体"/>
                <w:color w:val="000000"/>
                <w:sz w:val="18"/>
                <w:szCs w:val="18"/>
              </w:rPr>
              <w:t>）</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5.2</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开始时间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2009年1月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结束时间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2019年12月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数量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开展群众工作补助人员</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每月生活补助1800元*13人，每月生活补助2600元*2人</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质量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为全力打造和谐稳定的肖鲁克村，维护克州社会稳定和长治久安打下基础</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hint="eastAsia" w:ascii="宋体" w:hAnsi="宋体" w:eastAsia="宋体" w:cs="宋体"/>
                <w:color w:val="000000"/>
                <w:sz w:val="18"/>
                <w:szCs w:val="18"/>
                <w:lang w:val="en-US" w:eastAsia="zh-CN"/>
              </w:rPr>
            </w:pPr>
            <w:r>
              <w:rPr>
                <w:rFonts w:hint="eastAsia" w:ascii="宋体" w:hAnsi="宋体" w:cs="宋体"/>
                <w:color w:val="000000"/>
                <w:sz w:val="18"/>
                <w:szCs w:val="18"/>
                <w:lang w:eastAsia="zh-CN"/>
              </w:rPr>
              <w:t>全力打造和谐稳定村</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lang w:eastAsia="zh-CN"/>
              </w:rPr>
              <w:t>为全力打造和谐稳定的肖鲁克村，维护克州社会稳定和长治久安打下基础</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维护肖鲁克村社会和谐，促进肖鲁克村发展</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保障基层一线工作人员的生活确保其工作经常开展</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left"/>
              <w:rPr>
                <w:rFonts w:ascii="宋体" w:hAnsi="宋体" w:cs="宋体"/>
                <w:color w:val="000000"/>
                <w:sz w:val="18"/>
                <w:szCs w:val="18"/>
              </w:rPr>
            </w:pPr>
            <w:r>
              <w:rPr>
                <w:rFonts w:hint="eastAsia" w:ascii="宋体" w:hAnsi="宋体" w:cs="宋体"/>
                <w:color w:val="000000"/>
                <w:sz w:val="18"/>
                <w:szCs w:val="18"/>
                <w:lang w:val="en-US" w:eastAsia="zh-CN"/>
              </w:rPr>
              <w:t>每月生活补助1800元*13人，每月生活补助2600元*2人</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1080" w:firstLineChars="600"/>
              <w:jc w:val="both"/>
              <w:rPr>
                <w:rFonts w:ascii="宋体" w:hAnsi="宋体" w:cs="宋体"/>
                <w:color w:val="000000"/>
                <w:sz w:val="18"/>
                <w:szCs w:val="18"/>
              </w:rPr>
            </w:pPr>
            <w:r>
              <w:rPr>
                <w:rFonts w:hint="eastAsia" w:ascii="宋体" w:hAnsi="宋体" w:cs="宋体"/>
                <w:color w:val="000000"/>
                <w:sz w:val="18"/>
                <w:szCs w:val="18"/>
              </w:rPr>
              <w:t>受益人员满意度（%）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≥95%</w:t>
            </w: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tbl>
      <w:tblPr>
        <w:tblStyle w:val="12"/>
        <w:tblW w:w="8815" w:type="dxa"/>
        <w:jc w:val="center"/>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w:t>
            </w:r>
            <w:r>
              <w:rPr>
                <w:rFonts w:hint="eastAsia" w:ascii="宋体" w:hAnsi="宋体" w:cs="宋体"/>
                <w:color w:val="000000"/>
                <w:kern w:val="0"/>
                <w:sz w:val="22"/>
                <w:szCs w:val="22"/>
                <w:lang w:val="en-US" w:eastAsia="zh-CN" w:bidi="ar"/>
              </w:rPr>
              <w:t>19</w:t>
            </w:r>
            <w:r>
              <w:rPr>
                <w:rFonts w:hint="eastAsia" w:ascii="宋体" w:hAnsi="宋体" w:cs="宋体"/>
                <w:color w:val="000000"/>
                <w:kern w:val="0"/>
                <w:sz w:val="22"/>
                <w:szCs w:val="22"/>
                <w:lang w:bidi="ar"/>
              </w:rPr>
              <w:t>年）</w:t>
            </w:r>
          </w:p>
        </w:tc>
      </w:tr>
      <w:tr>
        <w:tblPrEx>
          <w:tblLayout w:type="fixed"/>
          <w:tblCellMar>
            <w:top w:w="0" w:type="dxa"/>
            <w:left w:w="0" w:type="dxa"/>
            <w:bottom w:w="0" w:type="dxa"/>
            <w:right w:w="0"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ind w:firstLine="1080" w:firstLineChars="6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克州发展和改革委员会</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ind w:firstLine="360" w:firstLineChars="200"/>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节能减排专项经费</w:t>
            </w:r>
          </w:p>
        </w:tc>
      </w:tr>
      <w:tr>
        <w:tblPrEx>
          <w:tblLayout w:type="fixed"/>
          <w:tblCellMar>
            <w:top w:w="0" w:type="dxa"/>
            <w:left w:w="0" w:type="dxa"/>
            <w:bottom w:w="0" w:type="dxa"/>
            <w:right w:w="0" w:type="dxa"/>
          </w:tblCellMar>
        </w:tblPrEx>
        <w:trPr>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360" w:firstLineChars="200"/>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064"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hAnsi="宋体" w:cs="宋体"/>
                <w:color w:val="000000"/>
                <w:sz w:val="18"/>
                <w:szCs w:val="18"/>
              </w:rPr>
            </w:pPr>
            <w:r>
              <w:rPr>
                <w:rFonts w:hint="eastAsia" w:ascii="宋体" w:hAnsi="宋体" w:cs="宋体"/>
                <w:color w:val="000000"/>
                <w:sz w:val="18"/>
                <w:szCs w:val="18"/>
                <w:lang w:eastAsia="zh-CN"/>
              </w:rPr>
              <w:t>对</w:t>
            </w:r>
            <w:r>
              <w:rPr>
                <w:rFonts w:hint="eastAsia" w:ascii="宋体" w:hAnsi="宋体" w:cs="宋体"/>
                <w:color w:val="000000"/>
                <w:sz w:val="18"/>
                <w:szCs w:val="18"/>
                <w:lang w:val="en-US" w:eastAsia="zh-CN"/>
              </w:rPr>
              <w:t>2019年我州重点用能单位进行节能监察并对列入国家“百千万”家重点用能单位进行考核；对2019年全社会固定资产投资项目进行节能审查工作。</w:t>
            </w:r>
          </w:p>
        </w:tc>
      </w:tr>
      <w:tr>
        <w:tblPrEx>
          <w:tblLayout w:type="fixed"/>
          <w:tblCellMar>
            <w:top w:w="0" w:type="dxa"/>
            <w:left w:w="0" w:type="dxa"/>
            <w:bottom w:w="0" w:type="dxa"/>
            <w:right w:w="0" w:type="dxa"/>
          </w:tblCellMar>
        </w:tblPrEx>
        <w:trPr>
          <w:trHeight w:val="48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成本</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rPr>
              <w:t>节能目标的考核，奖励</w:t>
            </w:r>
            <w:r>
              <w:rPr>
                <w:rFonts w:hint="eastAsia" w:ascii="宋体" w:hAnsi="宋体" w:cs="宋体"/>
                <w:color w:val="000000"/>
                <w:sz w:val="18"/>
                <w:szCs w:val="18"/>
                <w:lang w:eastAsia="zh-CN"/>
              </w:rPr>
              <w:t>，审查，工作运转经费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val="en-US" w:eastAsia="zh-CN"/>
              </w:rPr>
              <w:t>5万元</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开始时间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2009年1月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结束时间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2019年12月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数量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节能目标的考核，奖励</w:t>
            </w:r>
            <w:r>
              <w:rPr>
                <w:rFonts w:hint="eastAsia" w:ascii="宋体" w:hAnsi="宋体" w:cs="宋体"/>
                <w:color w:val="000000"/>
                <w:sz w:val="18"/>
                <w:szCs w:val="18"/>
                <w:lang w:eastAsia="zh-CN"/>
              </w:rPr>
              <w:t>，审查，工作运转经费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10次</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质量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提升克州用能单位的节能水平</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val="en-US" w:eastAsia="zh-CN"/>
              </w:rPr>
              <w:t>80</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为实现克州</w:t>
            </w:r>
            <w:r>
              <w:rPr>
                <w:rFonts w:hint="eastAsia" w:ascii="宋体" w:hAnsi="宋体" w:cs="宋体"/>
                <w:color w:val="000000"/>
                <w:sz w:val="18"/>
                <w:szCs w:val="18"/>
                <w:lang w:eastAsia="zh-CN"/>
              </w:rPr>
              <w:t>“绿水青山”的和谐</w:t>
            </w:r>
            <w:r>
              <w:rPr>
                <w:rFonts w:hint="eastAsia" w:ascii="宋体" w:hAnsi="宋体" w:cs="宋体"/>
                <w:color w:val="000000"/>
                <w:sz w:val="18"/>
                <w:szCs w:val="18"/>
              </w:rPr>
              <w:t>生态</w:t>
            </w:r>
            <w:r>
              <w:rPr>
                <w:rFonts w:hint="eastAsia" w:ascii="宋体" w:hAnsi="宋体" w:cs="宋体"/>
                <w:color w:val="000000"/>
                <w:sz w:val="18"/>
                <w:szCs w:val="18"/>
                <w:lang w:eastAsia="zh-CN"/>
              </w:rPr>
              <w:t>环境打下基础</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80</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节能能源，严格控制大气污染，改善环境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80</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rPr>
              <w:t>≥</w:t>
            </w:r>
            <w:r>
              <w:rPr>
                <w:rFonts w:hint="eastAsia" w:ascii="宋体" w:hAnsi="宋体" w:cs="宋体"/>
                <w:color w:val="000000"/>
                <w:sz w:val="18"/>
                <w:szCs w:val="18"/>
                <w:lang w:val="en-US" w:eastAsia="zh-CN"/>
              </w:rPr>
              <w:t>95</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tbl>
      <w:tblPr>
        <w:tblStyle w:val="12"/>
        <w:tblW w:w="8815" w:type="dxa"/>
        <w:jc w:val="center"/>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w:t>
            </w:r>
            <w:r>
              <w:rPr>
                <w:rFonts w:hint="eastAsia" w:ascii="宋体" w:hAnsi="宋体" w:cs="宋体"/>
                <w:color w:val="000000"/>
                <w:kern w:val="0"/>
                <w:sz w:val="22"/>
                <w:szCs w:val="22"/>
                <w:lang w:val="en-US" w:eastAsia="zh-CN" w:bidi="ar"/>
              </w:rPr>
              <w:t>2019</w:t>
            </w:r>
            <w:r>
              <w:rPr>
                <w:rFonts w:hint="eastAsia" w:ascii="宋体" w:hAnsi="宋体" w:cs="宋体"/>
                <w:color w:val="000000"/>
                <w:kern w:val="0"/>
                <w:sz w:val="22"/>
                <w:szCs w:val="22"/>
                <w:lang w:bidi="ar"/>
              </w:rPr>
              <w:t>年）</w:t>
            </w:r>
          </w:p>
        </w:tc>
      </w:tr>
      <w:tr>
        <w:tblPrEx>
          <w:tblLayout w:type="fixed"/>
          <w:tblCellMar>
            <w:top w:w="0" w:type="dxa"/>
            <w:left w:w="0" w:type="dxa"/>
            <w:bottom w:w="0" w:type="dxa"/>
            <w:right w:w="0"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ind w:firstLine="900" w:firstLineChars="5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克州发展和改革委员会</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群众工作经费</w:t>
            </w:r>
          </w:p>
        </w:tc>
      </w:tr>
      <w:tr>
        <w:tblPrEx>
          <w:tblLayout w:type="fixed"/>
          <w:tblCellMar>
            <w:top w:w="0" w:type="dxa"/>
            <w:left w:w="0" w:type="dxa"/>
            <w:bottom w:w="0" w:type="dxa"/>
            <w:right w:w="0" w:type="dxa"/>
          </w:tblCellMar>
        </w:tblPrEx>
        <w:trPr>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360" w:firstLineChars="200"/>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360" w:firstLineChars="200"/>
              <w:jc w:val="left"/>
              <w:rPr>
                <w:rFonts w:ascii="宋体" w:hAnsi="宋体" w:cs="宋体"/>
                <w:color w:val="000000"/>
                <w:sz w:val="18"/>
                <w:szCs w:val="18"/>
              </w:rPr>
            </w:pPr>
            <w:r>
              <w:rPr>
                <w:rFonts w:hint="eastAsia" w:ascii="宋体" w:hAnsi="宋体" w:cs="宋体"/>
                <w:color w:val="000000"/>
                <w:sz w:val="18"/>
                <w:szCs w:val="18"/>
                <w:lang w:eastAsia="zh-CN"/>
              </w:rPr>
              <w:t>为所驻村</w:t>
            </w:r>
            <w:r>
              <w:rPr>
                <w:rFonts w:hint="eastAsia" w:ascii="宋体" w:hAnsi="宋体" w:cs="宋体"/>
                <w:color w:val="000000"/>
                <w:sz w:val="18"/>
                <w:szCs w:val="18"/>
              </w:rPr>
              <w:t>阿图什市松他克乡肖鲁克村</w:t>
            </w:r>
            <w:r>
              <w:rPr>
                <w:rFonts w:hint="eastAsia" w:ascii="宋体" w:hAnsi="宋体" w:cs="宋体"/>
                <w:color w:val="000000"/>
                <w:sz w:val="18"/>
                <w:szCs w:val="18"/>
                <w:lang w:val="en-US" w:eastAsia="zh-CN"/>
              </w:rPr>
              <w:t>733户村民办实事好事、</w:t>
            </w:r>
            <w:r>
              <w:rPr>
                <w:rFonts w:hint="eastAsia" w:ascii="宋体" w:hAnsi="宋体" w:cs="宋体"/>
                <w:color w:val="000000"/>
                <w:sz w:val="18"/>
                <w:szCs w:val="18"/>
              </w:rPr>
              <w:t>解决困难家庭实际困难、</w:t>
            </w:r>
            <w:r>
              <w:rPr>
                <w:rFonts w:hint="eastAsia" w:ascii="宋体" w:hAnsi="宋体" w:cs="宋体"/>
                <w:color w:val="000000"/>
                <w:sz w:val="18"/>
                <w:szCs w:val="18"/>
                <w:lang w:eastAsia="zh-CN"/>
              </w:rPr>
              <w:t>提升该村基村组织工作能力、开展群众工作等。</w:t>
            </w:r>
          </w:p>
        </w:tc>
      </w:tr>
      <w:tr>
        <w:tblPrEx>
          <w:tblLayout w:type="fixed"/>
          <w:tblCellMar>
            <w:top w:w="0" w:type="dxa"/>
            <w:left w:w="0" w:type="dxa"/>
            <w:bottom w:w="0" w:type="dxa"/>
            <w:right w:w="0" w:type="dxa"/>
          </w:tblCellMar>
        </w:tblPrEx>
        <w:trPr>
          <w:trHeight w:val="48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成本</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default" w:ascii="宋体" w:hAnsi="宋体" w:eastAsia="宋体" w:cs="宋体"/>
                <w:color w:val="000000"/>
                <w:sz w:val="18"/>
                <w:szCs w:val="18"/>
                <w:lang w:val="en-US" w:eastAsia="zh-CN"/>
              </w:rPr>
            </w:pPr>
            <w:r>
              <w:rPr>
                <w:rFonts w:hint="eastAsia" w:ascii="宋体" w:hAnsi="宋体" w:cs="宋体"/>
                <w:color w:val="000000"/>
                <w:sz w:val="18"/>
                <w:szCs w:val="18"/>
                <w:lang w:eastAsia="zh-CN"/>
              </w:rPr>
              <w:t>大小村按不同标准，大村每村补助</w:t>
            </w:r>
            <w:r>
              <w:rPr>
                <w:rFonts w:hint="eastAsia" w:ascii="宋体" w:hAnsi="宋体" w:cs="宋体"/>
                <w:color w:val="000000"/>
                <w:sz w:val="18"/>
                <w:szCs w:val="18"/>
                <w:lang w:val="en-US" w:eastAsia="zh-CN"/>
              </w:rPr>
              <w:t>10万元</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开始时间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2009年1月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结束时间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2019年12月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数量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肖鲁克村</w:t>
            </w:r>
            <w:r>
              <w:rPr>
                <w:rFonts w:hint="eastAsia" w:ascii="宋体" w:hAnsi="宋体" w:cs="宋体"/>
                <w:color w:val="000000"/>
                <w:sz w:val="18"/>
                <w:szCs w:val="18"/>
                <w:lang w:val="en-US" w:eastAsia="zh-CN"/>
              </w:rPr>
              <w:t>村民办实事好事、</w:t>
            </w:r>
            <w:r>
              <w:rPr>
                <w:rFonts w:hint="eastAsia" w:ascii="宋体" w:hAnsi="宋体" w:cs="宋体"/>
                <w:color w:val="000000"/>
                <w:sz w:val="18"/>
                <w:szCs w:val="18"/>
              </w:rPr>
              <w:t>解决困难家庭实际困难、</w:t>
            </w:r>
            <w:r>
              <w:rPr>
                <w:rFonts w:hint="eastAsia" w:ascii="宋体" w:hAnsi="宋体" w:cs="宋体"/>
                <w:color w:val="000000"/>
                <w:sz w:val="18"/>
                <w:szCs w:val="18"/>
                <w:lang w:eastAsia="zh-CN"/>
              </w:rPr>
              <w:t>开展群众工作</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开展8至15场次，</w:t>
            </w:r>
            <w:r>
              <w:rPr>
                <w:rFonts w:hint="eastAsia" w:ascii="宋体" w:hAnsi="宋体" w:cs="宋体"/>
                <w:color w:val="000000"/>
                <w:sz w:val="18"/>
                <w:szCs w:val="18"/>
              </w:rPr>
              <w:t>≥</w:t>
            </w:r>
            <w:r>
              <w:rPr>
                <w:rFonts w:hint="eastAsia" w:ascii="宋体" w:hAnsi="宋体" w:cs="宋体"/>
                <w:color w:val="000000"/>
                <w:sz w:val="18"/>
                <w:szCs w:val="18"/>
                <w:lang w:val="en-US" w:eastAsia="zh-CN"/>
              </w:rPr>
              <w:t>30人</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质量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提升该村基村组织工作能力</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val="en-US" w:eastAsia="zh-CN"/>
              </w:rPr>
              <w:t>80以上</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全力打造和谐稳定的肖鲁克村，为实现克州社会稳定和长治久安打下基础</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cs="宋体"/>
                <w:color w:val="000000"/>
                <w:sz w:val="18"/>
                <w:szCs w:val="18"/>
                <w:lang w:val="en-US"/>
              </w:rPr>
            </w:pPr>
            <w:r>
              <w:rPr>
                <w:rFonts w:hint="eastAsia" w:ascii="宋体" w:hAnsi="宋体" w:cs="宋体"/>
                <w:color w:val="000000"/>
                <w:sz w:val="18"/>
                <w:szCs w:val="18"/>
              </w:rPr>
              <w:t>≥</w:t>
            </w:r>
            <w:r>
              <w:rPr>
                <w:rFonts w:hint="eastAsia" w:ascii="宋体" w:hAnsi="宋体" w:cs="宋体"/>
                <w:color w:val="000000"/>
                <w:sz w:val="18"/>
                <w:szCs w:val="18"/>
                <w:lang w:val="en-US" w:eastAsia="zh-CN"/>
              </w:rPr>
              <w:t>80%</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收益村民人口数量</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cs="宋体"/>
                <w:color w:val="000000"/>
                <w:sz w:val="18"/>
                <w:szCs w:val="18"/>
                <w:lang w:val="en-US"/>
              </w:rPr>
            </w:pPr>
            <w:r>
              <w:rPr>
                <w:rFonts w:hint="eastAsia" w:ascii="宋体" w:hAnsi="宋体" w:cs="宋体"/>
                <w:color w:val="000000"/>
                <w:sz w:val="18"/>
                <w:szCs w:val="18"/>
              </w:rPr>
              <w:t>≥</w:t>
            </w:r>
            <w:r>
              <w:rPr>
                <w:rFonts w:hint="eastAsia" w:ascii="宋体" w:hAnsi="宋体" w:cs="宋体"/>
                <w:color w:val="000000"/>
                <w:sz w:val="18"/>
                <w:szCs w:val="18"/>
                <w:lang w:val="en-US" w:eastAsia="zh-CN"/>
              </w:rPr>
              <w:t>50人</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群众满意度（%）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≥9</w:t>
            </w:r>
            <w:r>
              <w:rPr>
                <w:rFonts w:hint="eastAsia" w:ascii="宋体" w:hAnsi="宋体" w:cs="宋体"/>
                <w:color w:val="000000"/>
                <w:sz w:val="18"/>
                <w:szCs w:val="18"/>
                <w:lang w:val="en-US" w:eastAsia="zh-CN"/>
              </w:rPr>
              <w:t>0</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tbl>
      <w:tblPr>
        <w:tblStyle w:val="12"/>
        <w:tblW w:w="8815" w:type="dxa"/>
        <w:jc w:val="center"/>
        <w:tblInd w:w="0" w:type="dxa"/>
        <w:tblLayout w:type="fixed"/>
        <w:tblCellMar>
          <w:top w:w="0" w:type="dxa"/>
          <w:left w:w="0" w:type="dxa"/>
          <w:bottom w:w="0" w:type="dxa"/>
          <w:right w:w="0" w:type="dxa"/>
        </w:tblCellMar>
      </w:tblPr>
      <w:tblGrid>
        <w:gridCol w:w="960"/>
        <w:gridCol w:w="1452"/>
        <w:gridCol w:w="1224"/>
        <w:gridCol w:w="1476"/>
        <w:gridCol w:w="1039"/>
        <w:gridCol w:w="1481"/>
        <w:gridCol w:w="1183"/>
      </w:tblGrid>
      <w:tr>
        <w:tblPrEx>
          <w:tblLayout w:type="fixed"/>
          <w:tblCellMar>
            <w:top w:w="0" w:type="dxa"/>
            <w:left w:w="0" w:type="dxa"/>
            <w:bottom w:w="0" w:type="dxa"/>
            <w:right w:w="0" w:type="dxa"/>
          </w:tblCellMar>
        </w:tblPrEx>
        <w:trPr>
          <w:trHeight w:val="4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仿宋_GB2312" w:hAnsi="宋体" w:eastAsia="仿宋_GB2312" w:cs="仿宋_GB2312"/>
                <w:b/>
                <w:color w:val="000000"/>
                <w:sz w:val="32"/>
                <w:szCs w:val="32"/>
              </w:rPr>
            </w:pPr>
            <w:r>
              <w:rPr>
                <w:rFonts w:hint="eastAsia" w:ascii="仿宋_GB2312" w:hAnsi="宋体" w:eastAsia="仿宋_GB2312" w:cs="仿宋_GB2312"/>
                <w:b/>
                <w:color w:val="000000"/>
                <w:kern w:val="0"/>
                <w:sz w:val="32"/>
                <w:szCs w:val="32"/>
                <w:lang w:bidi="ar"/>
              </w:rPr>
              <w:t>项  目  支  出  绩  效  目  标  表</w:t>
            </w:r>
          </w:p>
        </w:tc>
      </w:tr>
      <w:tr>
        <w:tblPrEx>
          <w:tblLayout w:type="fixed"/>
          <w:tblCellMar>
            <w:top w:w="0" w:type="dxa"/>
            <w:left w:w="0" w:type="dxa"/>
            <w:bottom w:w="0" w:type="dxa"/>
            <w:right w:w="0" w:type="dxa"/>
          </w:tblCellMar>
        </w:tblPrEx>
        <w:trPr>
          <w:trHeight w:val="380" w:hRule="atLeast"/>
          <w:jc w:val="center"/>
        </w:trPr>
        <w:tc>
          <w:tcPr>
            <w:tcW w:w="8815" w:type="dxa"/>
            <w:gridSpan w:val="7"/>
            <w:tcBorders>
              <w:top w:val="nil"/>
              <w:left w:val="nil"/>
              <w:bottom w:val="nil"/>
              <w:right w:val="nil"/>
            </w:tcBorders>
            <w:tcMar>
              <w:top w:w="12" w:type="dxa"/>
              <w:left w:w="12" w:type="dxa"/>
              <w:right w:w="12" w:type="dxa"/>
            </w:tcMar>
            <w:vAlign w:val="bottom"/>
          </w:tcPr>
          <w:p>
            <w:pPr>
              <w:widowControl/>
              <w:spacing w:line="480" w:lineRule="exact"/>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（20</w:t>
            </w:r>
            <w:r>
              <w:rPr>
                <w:rFonts w:hint="eastAsia" w:ascii="宋体" w:hAnsi="宋体" w:cs="宋体"/>
                <w:color w:val="000000"/>
                <w:kern w:val="0"/>
                <w:sz w:val="22"/>
                <w:szCs w:val="22"/>
                <w:lang w:val="en-US" w:eastAsia="zh-CN" w:bidi="ar"/>
              </w:rPr>
              <w:t>19</w:t>
            </w:r>
            <w:r>
              <w:rPr>
                <w:rFonts w:hint="eastAsia" w:ascii="宋体" w:hAnsi="宋体" w:cs="宋体"/>
                <w:color w:val="000000"/>
                <w:kern w:val="0"/>
                <w:sz w:val="22"/>
                <w:szCs w:val="22"/>
                <w:lang w:bidi="ar"/>
              </w:rPr>
              <w:t>年）</w:t>
            </w:r>
          </w:p>
        </w:tc>
      </w:tr>
      <w:tr>
        <w:tblPrEx>
          <w:tblLayout w:type="fixed"/>
          <w:tblCellMar>
            <w:top w:w="0" w:type="dxa"/>
            <w:left w:w="0" w:type="dxa"/>
            <w:bottom w:w="0" w:type="dxa"/>
            <w:right w:w="0" w:type="dxa"/>
          </w:tblCellMar>
        </w:tblPrEx>
        <w:trPr>
          <w:trHeight w:val="5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预算单位</w:t>
            </w:r>
          </w:p>
        </w:tc>
        <w:tc>
          <w:tcPr>
            <w:tcW w:w="4152" w:type="dxa"/>
            <w:gridSpan w:val="3"/>
            <w:tcBorders>
              <w:top w:val="single" w:color="000000" w:sz="4" w:space="0"/>
              <w:left w:val="single" w:color="000000" w:sz="4" w:space="0"/>
              <w:bottom w:val="single" w:color="000000" w:sz="4" w:space="0"/>
              <w:right w:val="nil"/>
            </w:tcBorders>
            <w:tcMar>
              <w:top w:w="12" w:type="dxa"/>
              <w:left w:w="12" w:type="dxa"/>
              <w:right w:w="12" w:type="dxa"/>
            </w:tcMar>
            <w:vAlign w:val="center"/>
          </w:tcPr>
          <w:p>
            <w:pPr>
              <w:widowControl/>
              <w:spacing w:line="480" w:lineRule="exact"/>
              <w:ind w:firstLine="900" w:firstLineChars="500"/>
              <w:jc w:val="left"/>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克州发展和改革委员会</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项目名称</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援疆办</w:t>
            </w:r>
            <w:r>
              <w:rPr>
                <w:rFonts w:hint="eastAsia" w:ascii="宋体" w:hAnsi="宋体" w:cs="宋体"/>
                <w:color w:val="000000"/>
                <w:kern w:val="0"/>
                <w:sz w:val="18"/>
                <w:szCs w:val="18"/>
                <w:lang w:eastAsia="zh-CN" w:bidi="ar"/>
              </w:rPr>
              <w:t>项目</w:t>
            </w:r>
            <w:r>
              <w:rPr>
                <w:rFonts w:hint="eastAsia" w:ascii="宋体" w:hAnsi="宋体" w:cs="宋体"/>
                <w:color w:val="000000"/>
                <w:kern w:val="0"/>
                <w:sz w:val="18"/>
                <w:szCs w:val="18"/>
                <w:lang w:bidi="ar"/>
              </w:rPr>
              <w:t>工作经费</w:t>
            </w:r>
          </w:p>
        </w:tc>
      </w:tr>
      <w:tr>
        <w:tblPrEx>
          <w:tblLayout w:type="fixed"/>
          <w:tblCellMar>
            <w:top w:w="0" w:type="dxa"/>
            <w:left w:w="0" w:type="dxa"/>
            <w:bottom w:w="0" w:type="dxa"/>
            <w:right w:w="0" w:type="dxa"/>
          </w:tblCellMar>
        </w:tblPrEx>
        <w:trPr>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项目资金（万元）</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年度资金总额：</w:t>
            </w:r>
          </w:p>
        </w:tc>
        <w:tc>
          <w:tcPr>
            <w:tcW w:w="122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w:t>
            </w:r>
          </w:p>
        </w:tc>
        <w:tc>
          <w:tcPr>
            <w:tcW w:w="147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其中：财政拨款</w:t>
            </w:r>
          </w:p>
        </w:tc>
        <w:tc>
          <w:tcPr>
            <w:tcW w:w="103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ind w:firstLine="360" w:firstLineChars="200"/>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w:t>
            </w:r>
          </w:p>
        </w:tc>
        <w:tc>
          <w:tcPr>
            <w:tcW w:w="1481"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其他资金</w:t>
            </w:r>
          </w:p>
        </w:tc>
        <w:tc>
          <w:tcPr>
            <w:tcW w:w="1183" w:type="dxa"/>
            <w:tcBorders>
              <w:top w:val="nil"/>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10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项目总体目标</w:t>
            </w:r>
          </w:p>
        </w:tc>
        <w:tc>
          <w:tcPr>
            <w:tcW w:w="7855" w:type="dxa"/>
            <w:gridSpan w:val="6"/>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spacing w:line="480" w:lineRule="exact"/>
              <w:ind w:firstLine="420" w:firstLineChars="200"/>
              <w:jc w:val="left"/>
              <w:rPr>
                <w:rFonts w:ascii="宋体" w:hAnsi="宋体" w:cs="宋体"/>
                <w:color w:val="000000"/>
                <w:sz w:val="18"/>
                <w:szCs w:val="18"/>
              </w:rPr>
            </w:pPr>
            <w:r>
              <w:rPr>
                <w:rFonts w:hint="eastAsia" w:ascii="宋体" w:hAnsi="宋体" w:cs="宋体"/>
                <w:color w:val="000000"/>
                <w:sz w:val="21"/>
                <w:szCs w:val="21"/>
                <w:lang w:eastAsia="zh-CN"/>
              </w:rPr>
              <w:t>衔接</w:t>
            </w:r>
            <w:r>
              <w:rPr>
                <w:rFonts w:hint="eastAsia" w:ascii="宋体" w:hAnsi="宋体" w:cs="宋体"/>
                <w:color w:val="000000"/>
                <w:sz w:val="21"/>
                <w:szCs w:val="21"/>
              </w:rPr>
              <w:t>援疆项目计划编制</w:t>
            </w:r>
            <w:r>
              <w:rPr>
                <w:rFonts w:hint="eastAsia" w:ascii="宋体" w:hAnsi="宋体" w:cs="宋体"/>
                <w:color w:val="000000"/>
                <w:sz w:val="21"/>
                <w:szCs w:val="21"/>
                <w:lang w:eastAsia="zh-CN"/>
              </w:rPr>
              <w:t>、审批、实施管理、接待</w:t>
            </w:r>
            <w:r>
              <w:rPr>
                <w:rFonts w:hint="eastAsia" w:ascii="宋体" w:hAnsi="宋体" w:cs="宋体"/>
                <w:color w:val="000000"/>
                <w:sz w:val="21"/>
                <w:szCs w:val="21"/>
              </w:rPr>
              <w:t>国家、援疆省市</w:t>
            </w:r>
            <w:r>
              <w:rPr>
                <w:rFonts w:hint="eastAsia" w:ascii="宋体" w:hAnsi="宋体" w:cs="宋体"/>
                <w:color w:val="000000"/>
                <w:sz w:val="21"/>
                <w:szCs w:val="21"/>
                <w:lang w:eastAsia="zh-CN"/>
              </w:rPr>
              <w:t>检查；</w:t>
            </w:r>
            <w:r>
              <w:rPr>
                <w:rFonts w:hint="eastAsia" w:ascii="宋体" w:hAnsi="宋体" w:cs="宋体"/>
                <w:color w:val="000000"/>
                <w:sz w:val="21"/>
                <w:szCs w:val="21"/>
              </w:rPr>
              <w:t>援疆工作</w:t>
            </w:r>
            <w:r>
              <w:rPr>
                <w:rFonts w:hint="eastAsia" w:ascii="宋体" w:hAnsi="宋体" w:cs="宋体"/>
                <w:color w:val="000000"/>
                <w:sz w:val="21"/>
                <w:szCs w:val="21"/>
                <w:lang w:eastAsia="zh-CN"/>
              </w:rPr>
              <w:t>人员的培训、宣传等。</w:t>
            </w:r>
          </w:p>
        </w:tc>
      </w:tr>
      <w:tr>
        <w:tblPrEx>
          <w:tblLayout w:type="fixed"/>
          <w:tblCellMar>
            <w:top w:w="0" w:type="dxa"/>
            <w:left w:w="0" w:type="dxa"/>
            <w:bottom w:w="0" w:type="dxa"/>
            <w:right w:w="0" w:type="dxa"/>
          </w:tblCellMar>
        </w:tblPrEx>
        <w:trPr>
          <w:trHeight w:val="480" w:hRule="atLeast"/>
          <w:jc w:val="center"/>
        </w:trPr>
        <w:tc>
          <w:tcPr>
            <w:tcW w:w="96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一级指标</w:t>
            </w: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二级指标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三级指标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lang w:bidi="ar"/>
              </w:rPr>
              <w:t>指标值（包含数字及文字描述）</w:t>
            </w: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产出指标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成本</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援疆项目运转经费（差旅费、办公费、接待费）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16万元</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车辆运行费</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4万元</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时效指标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开始时间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2009年1月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lang w:eastAsia="zh-CN"/>
              </w:rPr>
              <w:t>结束时间</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lang w:val="en-US" w:eastAsia="zh-CN"/>
              </w:rPr>
              <w:t>2019年12月</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数量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资金支付及时率</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bidi="ar"/>
              </w:rPr>
              <w:t>质量</w:t>
            </w:r>
            <w:r>
              <w:rPr>
                <w:rFonts w:hint="eastAsia" w:ascii="宋体" w:hAnsi="宋体" w:cs="宋体"/>
                <w:color w:val="000000"/>
                <w:kern w:val="0"/>
                <w:sz w:val="18"/>
                <w:szCs w:val="18"/>
                <w:lang w:bidi="ar"/>
              </w:rPr>
              <w:t>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完成全部援疆项目的前期工作，达到所有援疆项目开工建设</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98个援疆项目全部开工建设</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效益指标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经济效益指标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年度完成援疆投资</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7.855亿元</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可持续影响指标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社会效益指标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推进援疆项目尽早建设，发挥援疆效益</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稳步推进</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生态效益指标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r>
        <w:tblPrEx>
          <w:tblLayout w:type="fixed"/>
          <w:tblCellMar>
            <w:top w:w="0" w:type="dxa"/>
            <w:left w:w="0" w:type="dxa"/>
            <w:bottom w:w="0" w:type="dxa"/>
            <w:right w:w="0" w:type="dxa"/>
          </w:tblCellMar>
        </w:tblPrEx>
        <w:trPr>
          <w:trHeight w:val="440" w:hRule="atLeast"/>
          <w:jc w:val="center"/>
        </w:trPr>
        <w:tc>
          <w:tcPr>
            <w:tcW w:w="960"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1452"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满意度指标</w:t>
            </w: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both"/>
              <w:rPr>
                <w:rFonts w:ascii="宋体" w:hAnsi="宋体" w:cs="宋体"/>
                <w:color w:val="000000"/>
                <w:sz w:val="18"/>
                <w:szCs w:val="18"/>
              </w:rPr>
            </w:pPr>
            <w:r>
              <w:rPr>
                <w:rFonts w:hint="eastAsia" w:ascii="宋体" w:hAnsi="宋体" w:cs="宋体"/>
                <w:color w:val="000000"/>
                <w:sz w:val="18"/>
                <w:szCs w:val="18"/>
              </w:rPr>
              <w:t>受益工作人员满意度（%）</w:t>
            </w: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val="en-US" w:eastAsia="zh-CN"/>
              </w:rPr>
              <w:t>90</w:t>
            </w:r>
            <w:r>
              <w:rPr>
                <w:rFonts w:hint="eastAsia" w:ascii="宋体" w:hAnsi="宋体" w:cs="宋体"/>
                <w:color w:val="000000"/>
                <w:sz w:val="18"/>
                <w:szCs w:val="18"/>
              </w:rPr>
              <w:t>%</w:t>
            </w:r>
          </w:p>
        </w:tc>
      </w:tr>
      <w:tr>
        <w:tblPrEx>
          <w:tblLayout w:type="fixed"/>
          <w:tblCellMar>
            <w:top w:w="0" w:type="dxa"/>
            <w:left w:w="0" w:type="dxa"/>
            <w:bottom w:w="0" w:type="dxa"/>
            <w:right w:w="0" w:type="dxa"/>
          </w:tblCellMar>
        </w:tblPrEx>
        <w:trPr>
          <w:trHeight w:val="440" w:hRule="atLeast"/>
          <w:jc w:val="center"/>
        </w:trPr>
        <w:tc>
          <w:tcPr>
            <w:tcW w:w="960"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373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c>
          <w:tcPr>
            <w:tcW w:w="2664"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spacing w:line="480" w:lineRule="exact"/>
              <w:jc w:val="center"/>
              <w:rPr>
                <w:rFonts w:ascii="宋体" w:hAnsi="宋体" w:cs="宋体"/>
                <w:color w:val="000000"/>
                <w:sz w:val="18"/>
                <w:szCs w:val="18"/>
              </w:rPr>
            </w:pPr>
          </w:p>
        </w:tc>
      </w:tr>
    </w:tbl>
    <w:p>
      <w:pPr>
        <w:widowControl/>
        <w:spacing w:line="48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720" w:num="1"/>
          <w:docGrid w:type="lines" w:linePitch="312" w:charSpace="0"/>
        </w:sectPr>
      </w:pPr>
    </w:p>
    <w:p>
      <w:pPr>
        <w:widowControl/>
        <w:spacing w:line="520" w:lineRule="exact"/>
        <w:ind w:firstLine="964" w:firstLineChars="300"/>
        <w:jc w:val="left"/>
        <w:rPr>
          <w:rFonts w:hint="eastAsia"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1587" w:firstLineChars="496"/>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无。</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w:t>
      </w:r>
      <w:r>
        <w:rPr>
          <w:rFonts w:hint="eastAsia" w:ascii="仿宋_GB2312" w:eastAsia="仿宋_GB2312"/>
          <w:sz w:val="32"/>
          <w:szCs w:val="32"/>
          <w:lang w:eastAsia="zh-CN"/>
        </w:rPr>
        <w:t>安排</w:t>
      </w:r>
      <w:r>
        <w:rPr>
          <w:rFonts w:hint="eastAsia" w:ascii="仿宋_GB2312" w:eastAsia="仿宋_GB2312"/>
          <w:sz w:val="32"/>
          <w:szCs w:val="32"/>
        </w:rPr>
        <w:t>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三</w:t>
      </w:r>
      <w:r>
        <w:rPr>
          <w:rFonts w:hint="eastAsia" w:ascii="黑体" w:hAnsi="黑体" w:eastAsia="黑体"/>
          <w:sz w:val="32"/>
          <w:szCs w:val="32"/>
        </w:rPr>
        <w:t>、基本支出：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四</w:t>
      </w:r>
      <w:r>
        <w:rPr>
          <w:rFonts w:hint="eastAsia" w:ascii="黑体" w:hAnsi="黑体" w:eastAsia="黑体"/>
          <w:sz w:val="32"/>
          <w:szCs w:val="32"/>
        </w:rPr>
        <w:t>、项目支出：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五</w:t>
      </w:r>
      <w:r>
        <w:rPr>
          <w:rFonts w:hint="eastAsia" w:ascii="黑体" w:hAnsi="黑体" w:eastAsia="黑体"/>
          <w:sz w:val="32"/>
          <w:szCs w:val="32"/>
        </w:rPr>
        <w:t>、“三公”经费：</w:t>
      </w:r>
      <w:r>
        <w:rPr>
          <w:rFonts w:hint="eastAsia" w:ascii="仿宋_GB2312" w:eastAsia="仿宋_GB2312"/>
          <w:sz w:val="32"/>
          <w:szCs w:val="32"/>
        </w:rPr>
        <w:t>指自治州本级部门用一般公共预算财政拨款安排的因公出国（境）费、公务用车购置及运行费和公务接待费；公务用车购置及运行费指单位公务用车购置费及租用费、燃料费、维修费、过路过桥费、保险费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lang w:eastAsia="zh-CN"/>
        </w:rPr>
        <w:t>六</w:t>
      </w:r>
      <w:r>
        <w:rPr>
          <w:rFonts w:hint="eastAsia" w:ascii="黑体" w:hAnsi="黑体" w:eastAsia="黑体"/>
          <w:sz w:val="32"/>
          <w:szCs w:val="32"/>
        </w:rPr>
        <w:t>、机关运行经费：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指各部门的公用经费，包括办公及印刷费、邮电费、差旅费、会议费、福利费、日常维修费、专用材料及一般设备购置费、办公用房水电费、办公用房取暖费、公务用车运行维护费及其他费用。</w:t>
      </w:r>
    </w:p>
    <w:p>
      <w:pPr>
        <w:widowControl/>
        <w:spacing w:line="520" w:lineRule="exact"/>
        <w:jc w:val="left"/>
        <w:rPr>
          <w:rFonts w:hint="eastAsia" w:eastAsia="仿宋_GB2312" w:cs="Times New Roman"/>
          <w:kern w:val="0"/>
          <w:sz w:val="32"/>
          <w:szCs w:val="32"/>
          <w:lang w:val="en-US" w:eastAsia="zh-CN"/>
        </w:rPr>
      </w:pPr>
      <w:r>
        <w:rPr>
          <w:rFonts w:hint="default" w:ascii="Times New Roman" w:hAnsi="Times New Roman" w:eastAsia="仿宋_GB2312" w:cs="Times New Roman"/>
          <w:kern w:val="0"/>
          <w:sz w:val="32"/>
          <w:szCs w:val="32"/>
        </w:rPr>
        <w:t xml:space="preserve"> </w:t>
      </w:r>
      <w:r>
        <w:rPr>
          <w:rFonts w:hint="eastAsia" w:eastAsia="仿宋_GB2312" w:cs="Times New Roman"/>
          <w:kern w:val="0"/>
          <w:sz w:val="32"/>
          <w:szCs w:val="32"/>
          <w:lang w:val="en-US" w:eastAsia="zh-CN"/>
        </w:rPr>
        <w:t xml:space="preserve">                           </w:t>
      </w:r>
    </w:p>
    <w:p>
      <w:pPr>
        <w:widowControl/>
        <w:spacing w:line="520" w:lineRule="exact"/>
        <w:ind w:firstLine="4480" w:firstLineChars="1400"/>
        <w:jc w:val="left"/>
        <w:rPr>
          <w:rFonts w:hint="eastAsia" w:eastAsia="仿宋_GB2312" w:cs="Times New Roman"/>
          <w:kern w:val="0"/>
          <w:sz w:val="32"/>
          <w:szCs w:val="32"/>
          <w:lang w:val="en-US" w:eastAsia="zh-CN"/>
        </w:rPr>
      </w:pPr>
      <w:r>
        <w:rPr>
          <w:rFonts w:hint="eastAsia" w:eastAsia="仿宋_GB2312" w:cs="Times New Roman"/>
          <w:kern w:val="0"/>
          <w:sz w:val="32"/>
          <w:szCs w:val="32"/>
          <w:lang w:val="en-US" w:eastAsia="zh-CN"/>
        </w:rPr>
        <w:t>克州发展和改革委员</w:t>
      </w:r>
    </w:p>
    <w:p>
      <w:pPr>
        <w:widowControl/>
        <w:spacing w:line="520" w:lineRule="exact"/>
        <w:ind w:firstLine="4480" w:firstLineChars="1400"/>
        <w:jc w:val="left"/>
        <w:rPr>
          <w:rFonts w:hint="default" w:ascii="Times New Roman" w:hAnsi="Times New Roman" w:eastAsia="仿宋_GB2312" w:cs="Times New Roman"/>
          <w:kern w:val="0"/>
          <w:sz w:val="32"/>
          <w:szCs w:val="32"/>
        </w:rPr>
      </w:pPr>
      <w:r>
        <w:rPr>
          <w:rFonts w:hint="eastAsia"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20</w:t>
      </w:r>
      <w:r>
        <w:rPr>
          <w:rFonts w:hint="eastAsia" w:eastAsia="仿宋_GB2312" w:cs="Times New Roman"/>
          <w:kern w:val="0"/>
          <w:sz w:val="32"/>
          <w:szCs w:val="32"/>
          <w:lang w:val="en-US" w:eastAsia="zh-CN"/>
        </w:rPr>
        <w:t>19</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月</w:t>
      </w:r>
      <w:r>
        <w:rPr>
          <w:rFonts w:hint="eastAsia" w:eastAsia="仿宋_GB2312" w:cs="Times New Roman"/>
          <w:kern w:val="0"/>
          <w:sz w:val="32"/>
          <w:szCs w:val="32"/>
          <w:lang w:val="en-US" w:eastAsia="zh-CN"/>
        </w:rPr>
        <w:t>29</w:t>
      </w:r>
      <w:r>
        <w:rPr>
          <w:rFonts w:hint="default" w:ascii="Times New Roman" w:hAnsi="Times New Roman" w:eastAsia="仿宋_GB2312" w:cs="Times New Roman"/>
          <w:kern w:val="0"/>
          <w:sz w:val="32"/>
          <w:szCs w:val="32"/>
        </w:rPr>
        <w:t>日</w:t>
      </w:r>
    </w:p>
    <w:p>
      <w:pPr>
        <w:rPr>
          <w:rFonts w:hint="eastAsia" w:eastAsia="宋体"/>
          <w:lang w:eastAsia="zh-CN"/>
        </w:rPr>
      </w:pPr>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BD08B8"/>
    <w:rsid w:val="00D06D6F"/>
    <w:rsid w:val="00E469CA"/>
    <w:rsid w:val="00E7167C"/>
    <w:rsid w:val="01121F2A"/>
    <w:rsid w:val="01450652"/>
    <w:rsid w:val="01736313"/>
    <w:rsid w:val="01927019"/>
    <w:rsid w:val="01FB6B51"/>
    <w:rsid w:val="026B1A53"/>
    <w:rsid w:val="028D7E30"/>
    <w:rsid w:val="02B36D2B"/>
    <w:rsid w:val="02B7531C"/>
    <w:rsid w:val="02D6335F"/>
    <w:rsid w:val="02DA232C"/>
    <w:rsid w:val="034B6419"/>
    <w:rsid w:val="037D35E0"/>
    <w:rsid w:val="039A5DE6"/>
    <w:rsid w:val="03C27AC6"/>
    <w:rsid w:val="03F02B63"/>
    <w:rsid w:val="04713B6A"/>
    <w:rsid w:val="04920FBE"/>
    <w:rsid w:val="04A4764F"/>
    <w:rsid w:val="04BB4966"/>
    <w:rsid w:val="04E629C3"/>
    <w:rsid w:val="05200334"/>
    <w:rsid w:val="05454FF9"/>
    <w:rsid w:val="05FE4562"/>
    <w:rsid w:val="061A7A32"/>
    <w:rsid w:val="06AB56A7"/>
    <w:rsid w:val="06B916DB"/>
    <w:rsid w:val="06C1140A"/>
    <w:rsid w:val="06D471C2"/>
    <w:rsid w:val="06E474AA"/>
    <w:rsid w:val="07256221"/>
    <w:rsid w:val="07936D03"/>
    <w:rsid w:val="08A25722"/>
    <w:rsid w:val="09417FBE"/>
    <w:rsid w:val="09456573"/>
    <w:rsid w:val="09AE2E4A"/>
    <w:rsid w:val="09B61A2A"/>
    <w:rsid w:val="0A07366F"/>
    <w:rsid w:val="0A083608"/>
    <w:rsid w:val="0AA313AA"/>
    <w:rsid w:val="0B6C2042"/>
    <w:rsid w:val="0B955267"/>
    <w:rsid w:val="0BA171AE"/>
    <w:rsid w:val="0BD42964"/>
    <w:rsid w:val="0C3069B9"/>
    <w:rsid w:val="0CC27DC1"/>
    <w:rsid w:val="0CC55147"/>
    <w:rsid w:val="0CE86F70"/>
    <w:rsid w:val="0DA76400"/>
    <w:rsid w:val="0DCB111F"/>
    <w:rsid w:val="0DD51478"/>
    <w:rsid w:val="0E054C9A"/>
    <w:rsid w:val="0E5F13DD"/>
    <w:rsid w:val="0E7A6870"/>
    <w:rsid w:val="0EDE0E25"/>
    <w:rsid w:val="0F0B0002"/>
    <w:rsid w:val="0F172EC7"/>
    <w:rsid w:val="0F5217A2"/>
    <w:rsid w:val="0F680039"/>
    <w:rsid w:val="0F847EC1"/>
    <w:rsid w:val="0F8630E9"/>
    <w:rsid w:val="0FD4031B"/>
    <w:rsid w:val="0FF652D1"/>
    <w:rsid w:val="10475003"/>
    <w:rsid w:val="10DB77F2"/>
    <w:rsid w:val="10E22163"/>
    <w:rsid w:val="11116870"/>
    <w:rsid w:val="124A032B"/>
    <w:rsid w:val="12AE69E4"/>
    <w:rsid w:val="12CB1AA6"/>
    <w:rsid w:val="12F21695"/>
    <w:rsid w:val="12F43DF6"/>
    <w:rsid w:val="1418790A"/>
    <w:rsid w:val="14687B18"/>
    <w:rsid w:val="148F2D83"/>
    <w:rsid w:val="14CC6194"/>
    <w:rsid w:val="15155ADE"/>
    <w:rsid w:val="154C72DF"/>
    <w:rsid w:val="155702A0"/>
    <w:rsid w:val="1586774A"/>
    <w:rsid w:val="15DD3C56"/>
    <w:rsid w:val="15E368E9"/>
    <w:rsid w:val="15EB533C"/>
    <w:rsid w:val="162862F9"/>
    <w:rsid w:val="16437993"/>
    <w:rsid w:val="167462A1"/>
    <w:rsid w:val="16BC2452"/>
    <w:rsid w:val="172855A9"/>
    <w:rsid w:val="18B11FC4"/>
    <w:rsid w:val="18C57292"/>
    <w:rsid w:val="191971FE"/>
    <w:rsid w:val="192D3084"/>
    <w:rsid w:val="193D7B5B"/>
    <w:rsid w:val="194A730E"/>
    <w:rsid w:val="195E71F4"/>
    <w:rsid w:val="197807C4"/>
    <w:rsid w:val="19FA0ECB"/>
    <w:rsid w:val="1A0969E9"/>
    <w:rsid w:val="1A0A5CA7"/>
    <w:rsid w:val="1A176D79"/>
    <w:rsid w:val="1A286193"/>
    <w:rsid w:val="1A535451"/>
    <w:rsid w:val="1ACB652A"/>
    <w:rsid w:val="1AD613D7"/>
    <w:rsid w:val="1B07018B"/>
    <w:rsid w:val="1B102DCB"/>
    <w:rsid w:val="1B142C69"/>
    <w:rsid w:val="1B5D54BF"/>
    <w:rsid w:val="1B9B0A8C"/>
    <w:rsid w:val="1C091B63"/>
    <w:rsid w:val="1C5C39F2"/>
    <w:rsid w:val="1C7E1946"/>
    <w:rsid w:val="1C920B11"/>
    <w:rsid w:val="1C9F5F4B"/>
    <w:rsid w:val="1D066AC0"/>
    <w:rsid w:val="1DA326DE"/>
    <w:rsid w:val="1DA83AF1"/>
    <w:rsid w:val="1DB54C0B"/>
    <w:rsid w:val="1E144CEF"/>
    <w:rsid w:val="1E18089E"/>
    <w:rsid w:val="1E3D2E95"/>
    <w:rsid w:val="1E544D6D"/>
    <w:rsid w:val="1ED11669"/>
    <w:rsid w:val="1EE13584"/>
    <w:rsid w:val="1F2B4D59"/>
    <w:rsid w:val="1F2E2E96"/>
    <w:rsid w:val="1FA8165C"/>
    <w:rsid w:val="1FFF6DAA"/>
    <w:rsid w:val="20892381"/>
    <w:rsid w:val="2089512F"/>
    <w:rsid w:val="209541DB"/>
    <w:rsid w:val="20C93BCE"/>
    <w:rsid w:val="210074A0"/>
    <w:rsid w:val="21620F4B"/>
    <w:rsid w:val="2196571A"/>
    <w:rsid w:val="21A0616E"/>
    <w:rsid w:val="21A242BD"/>
    <w:rsid w:val="21B50BDD"/>
    <w:rsid w:val="21BC25F9"/>
    <w:rsid w:val="22247372"/>
    <w:rsid w:val="229154CB"/>
    <w:rsid w:val="22920000"/>
    <w:rsid w:val="22A040AD"/>
    <w:rsid w:val="22BD2A01"/>
    <w:rsid w:val="22BE62E0"/>
    <w:rsid w:val="22C60E13"/>
    <w:rsid w:val="238209AF"/>
    <w:rsid w:val="24130B4F"/>
    <w:rsid w:val="244A4127"/>
    <w:rsid w:val="247B6028"/>
    <w:rsid w:val="249433E6"/>
    <w:rsid w:val="24A632C8"/>
    <w:rsid w:val="254106BE"/>
    <w:rsid w:val="259B7AA3"/>
    <w:rsid w:val="259C0EA6"/>
    <w:rsid w:val="25B267EB"/>
    <w:rsid w:val="26021BEA"/>
    <w:rsid w:val="261C5B43"/>
    <w:rsid w:val="26B47E2B"/>
    <w:rsid w:val="26C46F5E"/>
    <w:rsid w:val="26EB7B47"/>
    <w:rsid w:val="2752506D"/>
    <w:rsid w:val="282240A0"/>
    <w:rsid w:val="289D637F"/>
    <w:rsid w:val="28CA7972"/>
    <w:rsid w:val="290C3647"/>
    <w:rsid w:val="292533EA"/>
    <w:rsid w:val="2956445C"/>
    <w:rsid w:val="29636BDC"/>
    <w:rsid w:val="29F474AB"/>
    <w:rsid w:val="2A0F102C"/>
    <w:rsid w:val="2A7A796D"/>
    <w:rsid w:val="2A804FC2"/>
    <w:rsid w:val="2A8B3B59"/>
    <w:rsid w:val="2B103ADD"/>
    <w:rsid w:val="2B1A2766"/>
    <w:rsid w:val="2B4C07D0"/>
    <w:rsid w:val="2B5800DE"/>
    <w:rsid w:val="2B6D546F"/>
    <w:rsid w:val="2BE63DC5"/>
    <w:rsid w:val="2C6B4251"/>
    <w:rsid w:val="2CD2018C"/>
    <w:rsid w:val="2CE70941"/>
    <w:rsid w:val="2D320A9B"/>
    <w:rsid w:val="2D491B59"/>
    <w:rsid w:val="2D8E48FE"/>
    <w:rsid w:val="2DEF4C56"/>
    <w:rsid w:val="2E1951C4"/>
    <w:rsid w:val="2E230726"/>
    <w:rsid w:val="2E270414"/>
    <w:rsid w:val="2E3265DA"/>
    <w:rsid w:val="2E5A531A"/>
    <w:rsid w:val="2E661402"/>
    <w:rsid w:val="2E8931EA"/>
    <w:rsid w:val="2ECC41B2"/>
    <w:rsid w:val="2F4E2B20"/>
    <w:rsid w:val="2F5828D1"/>
    <w:rsid w:val="2F86000D"/>
    <w:rsid w:val="2FB81DCF"/>
    <w:rsid w:val="2FDB6FB8"/>
    <w:rsid w:val="301E760E"/>
    <w:rsid w:val="308F2718"/>
    <w:rsid w:val="30911A85"/>
    <w:rsid w:val="30B215ED"/>
    <w:rsid w:val="30DE3C66"/>
    <w:rsid w:val="30EC7EE6"/>
    <w:rsid w:val="30FD0559"/>
    <w:rsid w:val="312F5188"/>
    <w:rsid w:val="31763C42"/>
    <w:rsid w:val="31830EE3"/>
    <w:rsid w:val="32551AF2"/>
    <w:rsid w:val="32CD620C"/>
    <w:rsid w:val="32DC0739"/>
    <w:rsid w:val="334A2685"/>
    <w:rsid w:val="33672BE0"/>
    <w:rsid w:val="337731AA"/>
    <w:rsid w:val="33C62F92"/>
    <w:rsid w:val="33F203C1"/>
    <w:rsid w:val="34110F67"/>
    <w:rsid w:val="34170FC3"/>
    <w:rsid w:val="342E0A23"/>
    <w:rsid w:val="34397CCF"/>
    <w:rsid w:val="35122E6C"/>
    <w:rsid w:val="35B81868"/>
    <w:rsid w:val="35DD72DF"/>
    <w:rsid w:val="35EC7A61"/>
    <w:rsid w:val="360B076B"/>
    <w:rsid w:val="364A7522"/>
    <w:rsid w:val="36663235"/>
    <w:rsid w:val="36CD584E"/>
    <w:rsid w:val="37674326"/>
    <w:rsid w:val="37807B34"/>
    <w:rsid w:val="37BA461D"/>
    <w:rsid w:val="38597462"/>
    <w:rsid w:val="388F4E85"/>
    <w:rsid w:val="38D86583"/>
    <w:rsid w:val="390B3A63"/>
    <w:rsid w:val="39800EA9"/>
    <w:rsid w:val="3A62584E"/>
    <w:rsid w:val="3A695EED"/>
    <w:rsid w:val="3A771F97"/>
    <w:rsid w:val="3AE55FB1"/>
    <w:rsid w:val="3B897548"/>
    <w:rsid w:val="3B8C7BAB"/>
    <w:rsid w:val="3B911348"/>
    <w:rsid w:val="3BA76096"/>
    <w:rsid w:val="3BD57C14"/>
    <w:rsid w:val="3BEF7BBB"/>
    <w:rsid w:val="3BFF274E"/>
    <w:rsid w:val="3C0339E7"/>
    <w:rsid w:val="3C283342"/>
    <w:rsid w:val="3C3228CC"/>
    <w:rsid w:val="3C3C24DA"/>
    <w:rsid w:val="3C812A2A"/>
    <w:rsid w:val="3C9C3B86"/>
    <w:rsid w:val="3D4B26C8"/>
    <w:rsid w:val="3D617C4F"/>
    <w:rsid w:val="3DC06C29"/>
    <w:rsid w:val="3DE60B4D"/>
    <w:rsid w:val="3E4E1A1F"/>
    <w:rsid w:val="3ED96F11"/>
    <w:rsid w:val="3EF64DBB"/>
    <w:rsid w:val="3F9A041C"/>
    <w:rsid w:val="3FEC7265"/>
    <w:rsid w:val="40132A83"/>
    <w:rsid w:val="401C4F5F"/>
    <w:rsid w:val="402E56DF"/>
    <w:rsid w:val="40326ED1"/>
    <w:rsid w:val="40C84A64"/>
    <w:rsid w:val="40E96446"/>
    <w:rsid w:val="41416F0C"/>
    <w:rsid w:val="4150387C"/>
    <w:rsid w:val="4159485B"/>
    <w:rsid w:val="418463E1"/>
    <w:rsid w:val="41EF113C"/>
    <w:rsid w:val="41F02006"/>
    <w:rsid w:val="42616C05"/>
    <w:rsid w:val="42B55814"/>
    <w:rsid w:val="42F47D47"/>
    <w:rsid w:val="431722DF"/>
    <w:rsid w:val="43862740"/>
    <w:rsid w:val="44141D83"/>
    <w:rsid w:val="443633D1"/>
    <w:rsid w:val="445D5298"/>
    <w:rsid w:val="45022F22"/>
    <w:rsid w:val="45612ABF"/>
    <w:rsid w:val="458F43AB"/>
    <w:rsid w:val="46025B36"/>
    <w:rsid w:val="46560143"/>
    <w:rsid w:val="469907F2"/>
    <w:rsid w:val="46AC2CAB"/>
    <w:rsid w:val="46AD6072"/>
    <w:rsid w:val="47280317"/>
    <w:rsid w:val="473F4D11"/>
    <w:rsid w:val="47965D15"/>
    <w:rsid w:val="47A965D7"/>
    <w:rsid w:val="48173105"/>
    <w:rsid w:val="48553DD1"/>
    <w:rsid w:val="48891134"/>
    <w:rsid w:val="48D72C15"/>
    <w:rsid w:val="48E413A6"/>
    <w:rsid w:val="493E4976"/>
    <w:rsid w:val="494B0B80"/>
    <w:rsid w:val="496B2D80"/>
    <w:rsid w:val="49B27E22"/>
    <w:rsid w:val="49B554F5"/>
    <w:rsid w:val="4A2F0E59"/>
    <w:rsid w:val="4A8E410D"/>
    <w:rsid w:val="4AA21F0E"/>
    <w:rsid w:val="4AB67AD3"/>
    <w:rsid w:val="4B0647C9"/>
    <w:rsid w:val="4B077A22"/>
    <w:rsid w:val="4B8156CF"/>
    <w:rsid w:val="4BB37F80"/>
    <w:rsid w:val="4BC1412E"/>
    <w:rsid w:val="4BC43EC0"/>
    <w:rsid w:val="4BDF6ED4"/>
    <w:rsid w:val="4C5E4554"/>
    <w:rsid w:val="4D39573D"/>
    <w:rsid w:val="4D5B2C06"/>
    <w:rsid w:val="4D5B515E"/>
    <w:rsid w:val="4DBA3B16"/>
    <w:rsid w:val="4DD42E3C"/>
    <w:rsid w:val="4E1B5CCA"/>
    <w:rsid w:val="4E227090"/>
    <w:rsid w:val="4E531AC9"/>
    <w:rsid w:val="4E570B55"/>
    <w:rsid w:val="4E95563A"/>
    <w:rsid w:val="4E96557D"/>
    <w:rsid w:val="4EBA2A66"/>
    <w:rsid w:val="4F6A2619"/>
    <w:rsid w:val="4FCC4AB2"/>
    <w:rsid w:val="50476C01"/>
    <w:rsid w:val="512608B5"/>
    <w:rsid w:val="51617242"/>
    <w:rsid w:val="516526C5"/>
    <w:rsid w:val="51916115"/>
    <w:rsid w:val="519F787C"/>
    <w:rsid w:val="51CB6EA2"/>
    <w:rsid w:val="524F5B1F"/>
    <w:rsid w:val="52F913C3"/>
    <w:rsid w:val="5319301C"/>
    <w:rsid w:val="53207186"/>
    <w:rsid w:val="53A42408"/>
    <w:rsid w:val="53BA36B3"/>
    <w:rsid w:val="546A126D"/>
    <w:rsid w:val="54A93173"/>
    <w:rsid w:val="54AD7B1E"/>
    <w:rsid w:val="54DF085A"/>
    <w:rsid w:val="55267A8F"/>
    <w:rsid w:val="55DC1733"/>
    <w:rsid w:val="568507AE"/>
    <w:rsid w:val="56ED1EF1"/>
    <w:rsid w:val="572C6684"/>
    <w:rsid w:val="57A84FDD"/>
    <w:rsid w:val="57B84572"/>
    <w:rsid w:val="57D363B1"/>
    <w:rsid w:val="57FD4202"/>
    <w:rsid w:val="57FF64D3"/>
    <w:rsid w:val="58700D46"/>
    <w:rsid w:val="59B157B1"/>
    <w:rsid w:val="5A1F724A"/>
    <w:rsid w:val="5A643186"/>
    <w:rsid w:val="5AFF72C5"/>
    <w:rsid w:val="5B3C3213"/>
    <w:rsid w:val="5B6C08B8"/>
    <w:rsid w:val="5BAD2910"/>
    <w:rsid w:val="5BD423CC"/>
    <w:rsid w:val="5C7076E5"/>
    <w:rsid w:val="5C7A70AD"/>
    <w:rsid w:val="5CD77F9A"/>
    <w:rsid w:val="5D131148"/>
    <w:rsid w:val="5D2730D7"/>
    <w:rsid w:val="5DAE573C"/>
    <w:rsid w:val="5DCB62A1"/>
    <w:rsid w:val="5E52761C"/>
    <w:rsid w:val="5E900DCF"/>
    <w:rsid w:val="5EA56394"/>
    <w:rsid w:val="5EB474BF"/>
    <w:rsid w:val="5EBD7476"/>
    <w:rsid w:val="5F173E20"/>
    <w:rsid w:val="5F394C7D"/>
    <w:rsid w:val="5FCD7647"/>
    <w:rsid w:val="5FF4388D"/>
    <w:rsid w:val="601015DC"/>
    <w:rsid w:val="601F20B4"/>
    <w:rsid w:val="603156E5"/>
    <w:rsid w:val="60322DC7"/>
    <w:rsid w:val="60687D36"/>
    <w:rsid w:val="60734371"/>
    <w:rsid w:val="60B46EEE"/>
    <w:rsid w:val="60C010DE"/>
    <w:rsid w:val="616D4673"/>
    <w:rsid w:val="618D3F35"/>
    <w:rsid w:val="61983209"/>
    <w:rsid w:val="61A44578"/>
    <w:rsid w:val="61DB2275"/>
    <w:rsid w:val="628054F4"/>
    <w:rsid w:val="628E4922"/>
    <w:rsid w:val="62ED4B40"/>
    <w:rsid w:val="636224D4"/>
    <w:rsid w:val="6414437E"/>
    <w:rsid w:val="64383277"/>
    <w:rsid w:val="6448723D"/>
    <w:rsid w:val="64AA7A55"/>
    <w:rsid w:val="64AE44F5"/>
    <w:rsid w:val="64E5599B"/>
    <w:rsid w:val="651879BF"/>
    <w:rsid w:val="65735762"/>
    <w:rsid w:val="65AA1445"/>
    <w:rsid w:val="65BD0B94"/>
    <w:rsid w:val="660A763E"/>
    <w:rsid w:val="66185D8D"/>
    <w:rsid w:val="666F58BB"/>
    <w:rsid w:val="66CF46F1"/>
    <w:rsid w:val="672D3259"/>
    <w:rsid w:val="676A51D7"/>
    <w:rsid w:val="67A826B4"/>
    <w:rsid w:val="67F16572"/>
    <w:rsid w:val="684B4603"/>
    <w:rsid w:val="68E651BE"/>
    <w:rsid w:val="69644ABD"/>
    <w:rsid w:val="69A46B8F"/>
    <w:rsid w:val="69BB5A91"/>
    <w:rsid w:val="69DC2703"/>
    <w:rsid w:val="6A1C3FBA"/>
    <w:rsid w:val="6A1D47D8"/>
    <w:rsid w:val="6A4D595D"/>
    <w:rsid w:val="6A6F5CA3"/>
    <w:rsid w:val="6B574931"/>
    <w:rsid w:val="6B994EE8"/>
    <w:rsid w:val="6C097586"/>
    <w:rsid w:val="6C0C110A"/>
    <w:rsid w:val="6C390925"/>
    <w:rsid w:val="6C4A66D3"/>
    <w:rsid w:val="6CC140EF"/>
    <w:rsid w:val="6D402425"/>
    <w:rsid w:val="6D963799"/>
    <w:rsid w:val="6DCF2A20"/>
    <w:rsid w:val="6E195F71"/>
    <w:rsid w:val="6E1B44EE"/>
    <w:rsid w:val="6E8347CB"/>
    <w:rsid w:val="6EA90434"/>
    <w:rsid w:val="6EC1675D"/>
    <w:rsid w:val="6ED028CA"/>
    <w:rsid w:val="6F175C3C"/>
    <w:rsid w:val="6F1A78B9"/>
    <w:rsid w:val="6F657F90"/>
    <w:rsid w:val="6F7613DC"/>
    <w:rsid w:val="6FC13C3A"/>
    <w:rsid w:val="6FDA0B50"/>
    <w:rsid w:val="702A39E4"/>
    <w:rsid w:val="702D585F"/>
    <w:rsid w:val="70340E63"/>
    <w:rsid w:val="70473EEA"/>
    <w:rsid w:val="70602548"/>
    <w:rsid w:val="70E00FCF"/>
    <w:rsid w:val="70F3555A"/>
    <w:rsid w:val="70FE179A"/>
    <w:rsid w:val="711B7B3E"/>
    <w:rsid w:val="71906CB9"/>
    <w:rsid w:val="71CB091F"/>
    <w:rsid w:val="71D92765"/>
    <w:rsid w:val="72106547"/>
    <w:rsid w:val="72137449"/>
    <w:rsid w:val="724405E3"/>
    <w:rsid w:val="72CC61FB"/>
    <w:rsid w:val="736B4C7C"/>
    <w:rsid w:val="73CB37E0"/>
    <w:rsid w:val="73F04AEA"/>
    <w:rsid w:val="7406523F"/>
    <w:rsid w:val="742A64DB"/>
    <w:rsid w:val="743A1D3B"/>
    <w:rsid w:val="7465513A"/>
    <w:rsid w:val="747656FE"/>
    <w:rsid w:val="74931DA2"/>
    <w:rsid w:val="74D37ABB"/>
    <w:rsid w:val="74E855B1"/>
    <w:rsid w:val="75167695"/>
    <w:rsid w:val="75687C83"/>
    <w:rsid w:val="759E5690"/>
    <w:rsid w:val="75D62414"/>
    <w:rsid w:val="75DF16D6"/>
    <w:rsid w:val="75E83DC1"/>
    <w:rsid w:val="76604934"/>
    <w:rsid w:val="76C17F50"/>
    <w:rsid w:val="76D21DD5"/>
    <w:rsid w:val="770C1961"/>
    <w:rsid w:val="77CA65CD"/>
    <w:rsid w:val="77F52AD4"/>
    <w:rsid w:val="781E6225"/>
    <w:rsid w:val="78F71601"/>
    <w:rsid w:val="79060FB5"/>
    <w:rsid w:val="795A7102"/>
    <w:rsid w:val="797D5F82"/>
    <w:rsid w:val="79B120F4"/>
    <w:rsid w:val="79FD2A87"/>
    <w:rsid w:val="7A2433DB"/>
    <w:rsid w:val="7A285037"/>
    <w:rsid w:val="7AA60ABA"/>
    <w:rsid w:val="7AAA3A00"/>
    <w:rsid w:val="7AB856FE"/>
    <w:rsid w:val="7B113C2D"/>
    <w:rsid w:val="7B212220"/>
    <w:rsid w:val="7B581C56"/>
    <w:rsid w:val="7BF761AC"/>
    <w:rsid w:val="7C0D28F5"/>
    <w:rsid w:val="7C321030"/>
    <w:rsid w:val="7C3C11E9"/>
    <w:rsid w:val="7C7878DB"/>
    <w:rsid w:val="7C8F36D2"/>
    <w:rsid w:val="7D1718BD"/>
    <w:rsid w:val="7D3D0EB3"/>
    <w:rsid w:val="7D730C3C"/>
    <w:rsid w:val="7D996311"/>
    <w:rsid w:val="7DBC3703"/>
    <w:rsid w:val="7E321E0D"/>
    <w:rsid w:val="7E4575CF"/>
    <w:rsid w:val="7E8A1CB1"/>
    <w:rsid w:val="7E8D5D56"/>
    <w:rsid w:val="7F043E7D"/>
    <w:rsid w:val="7F736E31"/>
    <w:rsid w:val="7F882341"/>
    <w:rsid w:val="7FC2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alloon Text"/>
    <w:basedOn w:val="1"/>
    <w:link w:val="20"/>
    <w:semiHidden/>
    <w:qFormat/>
    <w:uiPriority w:val="0"/>
    <w:rPr>
      <w:sz w:val="18"/>
      <w:szCs w:val="18"/>
      <w:lang w:val="zh-CN" w:eastAsia="zh-CN"/>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22"/>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rFonts w:cs="Times New Roman"/>
      <w:b/>
      <w:bCs/>
    </w:rPr>
  </w:style>
  <w:style w:type="character" w:styleId="11">
    <w:name w:val="page number"/>
    <w:basedOn w:val="9"/>
    <w:qFormat/>
    <w:uiPriority w:val="0"/>
  </w:style>
  <w:style w:type="table" w:styleId="13">
    <w:name w:val="Table Grid"/>
    <w:basedOn w:val="1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字符"/>
    <w:basedOn w:val="9"/>
    <w:link w:val="6"/>
    <w:qFormat/>
    <w:uiPriority w:val="99"/>
    <w:rPr>
      <w:sz w:val="18"/>
      <w:szCs w:val="18"/>
    </w:rPr>
  </w:style>
  <w:style w:type="character" w:customStyle="1" w:styleId="15">
    <w:name w:val="页脚 字符"/>
    <w:basedOn w:val="9"/>
    <w:link w:val="5"/>
    <w:qFormat/>
    <w:uiPriority w:val="99"/>
    <w:rPr>
      <w:sz w:val="18"/>
      <w:szCs w:val="18"/>
    </w:rPr>
  </w:style>
  <w:style w:type="paragraph" w:customStyle="1" w:styleId="16">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7">
    <w:name w:val="批注框文本 字符"/>
    <w:basedOn w:val="9"/>
    <w:semiHidden/>
    <w:qFormat/>
    <w:uiPriority w:val="99"/>
    <w:rPr>
      <w:rFonts w:ascii="Times New Roman" w:hAnsi="Times New Roman" w:eastAsia="宋体" w:cs="Times New Roman"/>
      <w:sz w:val="18"/>
      <w:szCs w:val="18"/>
    </w:rPr>
  </w:style>
  <w:style w:type="character" w:customStyle="1" w:styleId="18">
    <w:name w:val="正文文本缩进 3 字符"/>
    <w:basedOn w:val="9"/>
    <w:semiHidden/>
    <w:qFormat/>
    <w:uiPriority w:val="99"/>
    <w:rPr>
      <w:rFonts w:ascii="Times New Roman" w:hAnsi="Times New Roman" w:eastAsia="宋体" w:cs="Times New Roman"/>
      <w:sz w:val="16"/>
      <w:szCs w:val="16"/>
    </w:rPr>
  </w:style>
  <w:style w:type="character" w:customStyle="1" w:styleId="19">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20">
    <w:name w:val="批注框文本 字符1"/>
    <w:link w:val="4"/>
    <w:semiHidden/>
    <w:qFormat/>
    <w:uiPriority w:val="0"/>
    <w:rPr>
      <w:rFonts w:ascii="Times New Roman" w:hAnsi="Times New Roman" w:eastAsia="宋体" w:cs="Times New Roman"/>
      <w:sz w:val="18"/>
      <w:szCs w:val="18"/>
      <w:lang w:val="zh-CN" w:eastAsia="zh-CN"/>
    </w:rPr>
  </w:style>
  <w:style w:type="character" w:customStyle="1" w:styleId="21">
    <w:name w:val="页眉 字符1"/>
    <w:qFormat/>
    <w:uiPriority w:val="0"/>
    <w:rPr>
      <w:rFonts w:ascii="Times New Roman" w:hAnsi="Times New Roman" w:eastAsia="宋体" w:cs="Times New Roman"/>
      <w:sz w:val="18"/>
      <w:szCs w:val="18"/>
      <w:lang w:val="zh-CN" w:eastAsia="zh-CN"/>
    </w:rPr>
  </w:style>
  <w:style w:type="character" w:customStyle="1" w:styleId="22">
    <w:name w:val="正文文本缩进 3 字符1"/>
    <w:link w:val="7"/>
    <w:qFormat/>
    <w:uiPriority w:val="0"/>
    <w:rPr>
      <w:rFonts w:ascii="Times New Roman" w:hAnsi="Times New Roman" w:eastAsia="仿宋_GB2312" w:cs="Times New Roman"/>
      <w:sz w:val="32"/>
      <w:szCs w:val="24"/>
      <w:lang w:val="zh-CN" w:eastAsia="zh-CN"/>
    </w:rPr>
  </w:style>
  <w:style w:type="paragraph" w:styleId="23">
    <w:name w:val="List Paragraph"/>
    <w:basedOn w:val="1"/>
    <w:qFormat/>
    <w:uiPriority w:val="34"/>
    <w:pPr>
      <w:ind w:firstLine="420" w:firstLineChars="200"/>
    </w:pPr>
    <w:rPr>
      <w:rFonts w:ascii="Calibri" w:hAnsi="Calibri"/>
      <w:szCs w:val="22"/>
    </w:rPr>
  </w:style>
  <w:style w:type="paragraph" w:customStyle="1" w:styleId="24">
    <w:name w:val="普通(网站)1"/>
    <w:basedOn w:val="1"/>
    <w:qFormat/>
    <w:uiPriority w:val="0"/>
    <w:rPr>
      <w:rFonts w:ascii="Calibri" w:hAnsi="Calibri" w:cs="黑体"/>
      <w:sz w:val="24"/>
    </w:rPr>
  </w:style>
  <w:style w:type="paragraph" w:customStyle="1" w:styleId="25">
    <w:name w:val="普通(网站)2"/>
    <w:basedOn w:val="1"/>
    <w:qFormat/>
    <w:uiPriority w:val="0"/>
    <w:rPr>
      <w:rFonts w:ascii="Calibri" w:hAnsi="Calibri" w:cs="黑体"/>
      <w:sz w:val="24"/>
    </w:rPr>
  </w:style>
  <w:style w:type="paragraph" w:customStyle="1" w:styleId="26">
    <w:name w:val="普通(网站)3"/>
    <w:basedOn w:val="1"/>
    <w:qFormat/>
    <w:uiPriority w:val="0"/>
    <w:rPr>
      <w:rFonts w:ascii="Calibri" w:hAnsi="Calibri" w:cs="黑体"/>
      <w:sz w:val="24"/>
    </w:rPr>
  </w:style>
  <w:style w:type="character" w:customStyle="1" w:styleId="27">
    <w:name w:val="font21"/>
    <w:basedOn w:val="9"/>
    <w:qFormat/>
    <w:uiPriority w:val="0"/>
    <w:rPr>
      <w:rFonts w:hint="eastAsia" w:ascii="宋体" w:hAnsi="宋体" w:eastAsia="宋体" w:cs="宋体"/>
      <w:color w:val="000000"/>
      <w:sz w:val="24"/>
      <w:szCs w:val="24"/>
      <w:u w:val="none"/>
    </w:rPr>
  </w:style>
  <w:style w:type="character" w:customStyle="1" w:styleId="28">
    <w:name w:val="font01"/>
    <w:basedOn w:val="9"/>
    <w:qFormat/>
    <w:uiPriority w:val="0"/>
    <w:rPr>
      <w:rFonts w:hint="eastAsia" w:ascii="宋体" w:hAnsi="宋体" w:eastAsia="宋体" w:cs="宋体"/>
      <w:color w:val="000000"/>
      <w:sz w:val="18"/>
      <w:szCs w:val="18"/>
      <w:u w:val="none"/>
    </w:rPr>
  </w:style>
  <w:style w:type="character" w:customStyle="1" w:styleId="29">
    <w:name w:val="font1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26</TotalTime>
  <ScaleCrop>false</ScaleCrop>
  <LinksUpToDate>false</LinksUpToDate>
  <CharactersWithSpaces>10542</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pc</cp:lastModifiedBy>
  <cp:lastPrinted>2020-01-21T12:45:00Z</cp:lastPrinted>
  <dcterms:modified xsi:type="dcterms:W3CDTF">2021-05-20T03:49:19Z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