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克孜勒苏柯尔克孜自治州林业工作管理站</w:t>
      </w:r>
      <w:r>
        <w:rPr>
          <w:rFonts w:ascii="方正小标宋_GBK" w:hAnsi="宋体" w:eastAsia="方正小标宋_GBK"/>
          <w:kern w:val="0"/>
          <w:sz w:val="44"/>
          <w:szCs w:val="44"/>
        </w:rPr>
        <w:t>2019</w:t>
      </w:r>
      <w:r>
        <w:rPr>
          <w:rFonts w:hint="eastAsia" w:ascii="方正小标宋_GBK" w:hAnsi="宋体" w:eastAsia="方正小标宋_GBK"/>
          <w:kern w:val="0"/>
          <w:sz w:val="44"/>
          <w:szCs w:val="44"/>
        </w:rPr>
        <w:t>年部门预算公开说明</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500" w:lineRule="exact"/>
        <w:jc w:val="center"/>
        <w:outlineLvl w:val="1"/>
        <w:rPr>
          <w:rFonts w:ascii="黑体" w:hAnsi="黑体" w:eastAsia="黑体"/>
          <w:kern w:val="0"/>
          <w:sz w:val="44"/>
          <w:szCs w:val="4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460" w:lineRule="exact"/>
        <w:outlineLvl w:val="1"/>
        <w:rPr>
          <w:rFonts w:ascii="??_GB2312" w:hAnsi="宋体" w:eastAsia="Times New Roman"/>
          <w:b/>
          <w:kern w:val="0"/>
          <w:sz w:val="28"/>
          <w:szCs w:val="28"/>
        </w:rPr>
      </w:pPr>
      <w:r>
        <w:rPr>
          <w:rFonts w:ascii="??_GB2312" w:hAnsi="宋体" w:eastAsia="Times New Roman"/>
          <w:b/>
          <w:kern w:val="0"/>
          <w:sz w:val="28"/>
          <w:szCs w:val="28"/>
        </w:rPr>
        <w:t xml:space="preserve">第一部分 </w:t>
      </w:r>
      <w:r>
        <w:rPr>
          <w:rFonts w:hint="eastAsia" w:ascii="??_GB2312" w:hAnsi="宋体"/>
          <w:b/>
          <w:kern w:val="0"/>
          <w:sz w:val="28"/>
          <w:szCs w:val="28"/>
          <w:lang w:eastAsia="zh-CN"/>
        </w:rPr>
        <w:t>克孜勒苏柯尔克孜自治州林业工作管理站（林业技术推广站）</w:t>
      </w:r>
      <w:r>
        <w:rPr>
          <w:rFonts w:ascii="??_GB2312" w:hAnsi="宋体" w:eastAsia="Times New Roman"/>
          <w:b/>
          <w:kern w:val="0"/>
          <w:sz w:val="28"/>
          <w:szCs w:val="28"/>
        </w:rPr>
        <w:t>部门单位概况</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一、主要职能</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二、机构设置及人员情况</w:t>
      </w:r>
    </w:p>
    <w:p>
      <w:pPr>
        <w:widowControl/>
        <w:spacing w:line="460" w:lineRule="exact"/>
        <w:outlineLvl w:val="1"/>
        <w:rPr>
          <w:rFonts w:ascii="??_GB2312" w:hAnsi="宋体" w:eastAsia="Times New Roman"/>
          <w:b/>
          <w:kern w:val="0"/>
          <w:sz w:val="28"/>
          <w:szCs w:val="28"/>
        </w:rPr>
      </w:pPr>
      <w:r>
        <w:rPr>
          <w:rFonts w:ascii="??_GB2312" w:hAnsi="宋体" w:eastAsia="Times New Roman"/>
          <w:b/>
          <w:kern w:val="0"/>
          <w:sz w:val="28"/>
          <w:szCs w:val="28"/>
        </w:rPr>
        <w:t xml:space="preserve">第二部分  </w:t>
      </w:r>
      <w:r>
        <w:rPr>
          <w:rFonts w:ascii="宋体" w:hAnsi="宋体"/>
          <w:b/>
          <w:kern w:val="0"/>
          <w:sz w:val="28"/>
          <w:szCs w:val="28"/>
        </w:rPr>
        <w:t>2019</w:t>
      </w:r>
      <w:r>
        <w:rPr>
          <w:rFonts w:ascii="??_GB2312" w:hAnsi="宋体" w:eastAsia="Times New Roman"/>
          <w:b/>
          <w:kern w:val="0"/>
          <w:sz w:val="28"/>
          <w:szCs w:val="28"/>
        </w:rPr>
        <w:t>年部门预算公开表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一、部门收支总体情况表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二、部门收入总体情况表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三、部门支出总体情况表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四、财政拨款收支总体情况表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五、一般公共预算支出情况表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六、一般公共预算基本支出情况表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七、</w:t>
      </w:r>
      <w:r>
        <w:rPr>
          <w:rFonts w:ascii="??_GB2312" w:hAnsi="宋体" w:eastAsia="Times New Roman"/>
          <w:bCs/>
          <w:kern w:val="0"/>
          <w:sz w:val="28"/>
          <w:szCs w:val="28"/>
        </w:rPr>
        <w:t>项目支出情况表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八、一般公共预算“三公”经费支出情况表</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九、政府性基金预算支出情况表</w:t>
      </w:r>
    </w:p>
    <w:p>
      <w:pPr>
        <w:widowControl/>
        <w:spacing w:line="460" w:lineRule="exact"/>
        <w:outlineLvl w:val="1"/>
        <w:rPr>
          <w:rFonts w:ascii="??_GB2312" w:hAnsi="宋体" w:eastAsia="Times New Roman"/>
          <w:b/>
          <w:kern w:val="0"/>
          <w:sz w:val="28"/>
          <w:szCs w:val="28"/>
        </w:rPr>
      </w:pPr>
      <w:r>
        <w:rPr>
          <w:rFonts w:ascii="??_GB2312" w:hAnsi="宋体" w:eastAsia="Times New Roman"/>
          <w:b/>
          <w:kern w:val="0"/>
          <w:sz w:val="28"/>
          <w:szCs w:val="28"/>
        </w:rPr>
        <w:t>第三部分</w:t>
      </w:r>
      <w:r>
        <w:rPr>
          <w:rFonts w:ascii="宋体" w:hAnsi="宋体"/>
          <w:b/>
          <w:kern w:val="0"/>
          <w:sz w:val="28"/>
          <w:szCs w:val="28"/>
        </w:rPr>
        <w:t>2019</w:t>
      </w:r>
      <w:r>
        <w:rPr>
          <w:rFonts w:ascii="??_GB2312" w:hAnsi="宋体" w:eastAsia="Times New Roman"/>
          <w:b/>
          <w:kern w:val="0"/>
          <w:sz w:val="28"/>
          <w:szCs w:val="28"/>
        </w:rPr>
        <w:t>年部门预算情况说明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一、关于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部门2019年收支预算情况的总体说明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二、关于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部门2019年收入预算情况说明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三、关于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部门2019年支出预算情况说明</w:t>
      </w:r>
    </w:p>
    <w:p>
      <w:pPr>
        <w:widowControl/>
        <w:spacing w:line="460" w:lineRule="exact"/>
        <w:outlineLvl w:val="1"/>
        <w:rPr>
          <w:rFonts w:ascii="??_GB2312" w:hAnsi="宋体" w:eastAsia="Times New Roman"/>
          <w:bCs/>
          <w:kern w:val="0"/>
          <w:sz w:val="28"/>
          <w:szCs w:val="28"/>
        </w:rPr>
      </w:pPr>
      <w:r>
        <w:rPr>
          <w:rFonts w:ascii="??_GB2312" w:hAnsi="宋体" w:eastAsia="Times New Roman"/>
          <w:bCs/>
          <w:kern w:val="0"/>
          <w:sz w:val="28"/>
          <w:szCs w:val="28"/>
        </w:rPr>
        <w:t>四、关于</w:t>
      </w:r>
      <w:r>
        <w:rPr>
          <w:rFonts w:hint="eastAsia" w:ascii="??_GB2312" w:hAnsi="宋体"/>
          <w:bCs/>
          <w:kern w:val="0"/>
          <w:sz w:val="28"/>
          <w:szCs w:val="28"/>
          <w:lang w:eastAsia="zh-CN"/>
        </w:rPr>
        <w:t>克孜勒苏柯尔克孜自治州林业工作管理站（林业技术推广站）</w:t>
      </w:r>
      <w:r>
        <w:rPr>
          <w:rFonts w:ascii="??_GB2312" w:hAnsi="宋体" w:eastAsia="Times New Roman"/>
          <w:bCs/>
          <w:kern w:val="0"/>
          <w:sz w:val="28"/>
          <w:szCs w:val="28"/>
        </w:rPr>
        <w:t>部门2019年财政拨款收支预算情况的总体说明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五、关于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部门2019年一般公共预算当年拨款情况说明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六、关于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部门2019年一般公共预算基本支出情况说明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七、关于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部门2019年项目支出情况说明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八、关于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部门2019年一般公共预算“三公”经费预算情况说明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九、关于</w:t>
      </w:r>
      <w:r>
        <w:rPr>
          <w:rFonts w:hint="eastAsia" w:ascii="??_GB2312" w:hAnsi="宋体"/>
          <w:kern w:val="0"/>
          <w:sz w:val="28"/>
          <w:szCs w:val="28"/>
          <w:lang w:eastAsia="zh-CN"/>
        </w:rPr>
        <w:t>克孜勒苏柯尔克孜自治州林业工作管理站（林业技术推广站）</w:t>
      </w:r>
      <w:r>
        <w:rPr>
          <w:rFonts w:ascii="??_GB2312" w:hAnsi="宋体" w:eastAsia="Times New Roman"/>
          <w:kern w:val="0"/>
          <w:sz w:val="28"/>
          <w:szCs w:val="28"/>
        </w:rPr>
        <w:t>部门2019年政府性基金预算拨款情况说明</w:t>
      </w:r>
    </w:p>
    <w:p>
      <w:pPr>
        <w:widowControl/>
        <w:spacing w:line="460" w:lineRule="exact"/>
        <w:outlineLvl w:val="1"/>
        <w:rPr>
          <w:rFonts w:ascii="??_GB2312" w:hAnsi="宋体" w:eastAsia="Times New Roman"/>
          <w:kern w:val="0"/>
          <w:sz w:val="28"/>
          <w:szCs w:val="28"/>
        </w:rPr>
      </w:pPr>
      <w:r>
        <w:rPr>
          <w:rFonts w:ascii="??_GB2312" w:hAnsi="宋体" w:eastAsia="Times New Roman"/>
          <w:kern w:val="0"/>
          <w:sz w:val="28"/>
          <w:szCs w:val="28"/>
        </w:rPr>
        <w:t>十、其他重要事项的情况说明</w:t>
      </w:r>
    </w:p>
    <w:p>
      <w:pPr>
        <w:widowControl/>
        <w:spacing w:line="460" w:lineRule="exact"/>
        <w:outlineLvl w:val="1"/>
        <w:rPr>
          <w:rFonts w:ascii="??_GB2312" w:hAnsi="宋体" w:eastAsia="Times New Roman"/>
          <w:b/>
          <w:kern w:val="0"/>
          <w:sz w:val="32"/>
          <w:szCs w:val="32"/>
        </w:rPr>
      </w:pPr>
      <w:r>
        <w:rPr>
          <w:rFonts w:ascii="??_GB2312" w:hAnsi="宋体" w:eastAsia="Times New Roman"/>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lang w:eastAsia="zh-CN"/>
        </w:rPr>
        <w:t>克孜勒苏柯尔克孜自治州林业工作管理站（林业技术推广站）</w:t>
      </w:r>
      <w:r>
        <w:rPr>
          <w:rFonts w:hint="eastAsia" w:ascii="黑体" w:hAnsi="黑体" w:eastAsia="黑体"/>
          <w:kern w:val="0"/>
          <w:sz w:val="32"/>
          <w:szCs w:val="32"/>
        </w:rPr>
        <w:t>部门单位概况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ascii="??_GB2312" w:hAnsi="宋体" w:eastAsia="Times New Roman" w:cs="宋体"/>
          <w:kern w:val="0"/>
          <w:sz w:val="32"/>
          <w:szCs w:val="32"/>
        </w:rPr>
        <w:t xml:space="preserve">　  </w:t>
      </w:r>
      <w:r>
        <w:rPr>
          <w:rFonts w:hint="eastAsia" w:ascii="黑体" w:hAnsi="黑体" w:eastAsia="黑体" w:cs="宋体"/>
          <w:bCs/>
          <w:kern w:val="0"/>
          <w:sz w:val="32"/>
          <w:szCs w:val="32"/>
        </w:rPr>
        <w:t>一、主要职能</w:t>
      </w:r>
    </w:p>
    <w:p>
      <w:pPr>
        <w:widowControl/>
        <w:shd w:val="clear" w:color="auto" w:fill="FFFFFF"/>
        <w:spacing w:line="450" w:lineRule="atLeast"/>
        <w:ind w:firstLine="420"/>
        <w:jc w:val="left"/>
        <w:rPr>
          <w:rFonts w:ascii="??_GB2312" w:hAnsi="宋体" w:eastAsia="Times New Roman" w:cs="宋体"/>
          <w:kern w:val="0"/>
          <w:sz w:val="32"/>
          <w:szCs w:val="32"/>
        </w:rPr>
      </w:pPr>
      <w:r>
        <w:rPr>
          <w:rFonts w:ascii="黑体" w:hAnsi="黑体" w:eastAsia="黑体" w:cs="宋体"/>
          <w:bCs/>
          <w:kern w:val="0"/>
          <w:sz w:val="32"/>
          <w:szCs w:val="32"/>
        </w:rPr>
        <w:t xml:space="preserve">   </w:t>
      </w:r>
      <w:r>
        <w:rPr>
          <w:rFonts w:ascii="??_GB2312" w:hAnsi="宋体" w:eastAsia="Times New Roman" w:cs="宋体"/>
          <w:kern w:val="0"/>
          <w:sz w:val="32"/>
          <w:szCs w:val="32"/>
        </w:rPr>
        <w:t xml:space="preserve"> </w:t>
      </w: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主要负责拟定上级有关林业工作站政策、法规、制定的组织实施方案，并监督执行；组织编制全州乡（镇）林业工作站建设发展规划和年度计划，并组织落实负责乡（镇）林业站培训工作的宏观和协调，负责乡（镇）林业站开发多种经营，业务咨询和技术服务工作；指导基层林业站建设工作，配合有关部门监督建站专项经费的使用，配合有关部门开展集体林区生态建设，组织指导基层林业站建设的检查验收工作；配合州林业局，管理与指导集体林区的森林资源，林政管理，抓好改造节柴工作；指导和协调基层林业工作站抓好森林防火，病虫害防治，野生动植物保护工作。负责指导乡村集体林场工作的指导与宏观管理；负责指导基层林业工作的精神文明建设工作；协助州林业局负责管理全州林木种苗行业，负责编制全州种苗发展规划；负责林木良种繁育及种苗重点工程项目管理；负责全州林木良种的审认定工作；协助州林业局配合自治州林业局制定全州林业科技发展规划和计划，会同有关部门组织重大科研项目攻关和科研成果的推广应用、组织指导全州林业行业培训和工人考核职称评审工作；协助林业局配合自治州林业局负责管理全州林业重点工程的组织实施，负责林业重点工程的规划设计、组织施工、工程监理、检查验收、工程档案建立、工程信息调度、工程专项资金监督工作，工程信息调度工程专项资金监督工作。</w:t>
      </w:r>
    </w:p>
    <w:p>
      <w:pPr>
        <w:widowControl/>
        <w:spacing w:line="560" w:lineRule="exact"/>
        <w:jc w:val="left"/>
        <w:rPr>
          <w:rFonts w:ascii="黑体" w:hAnsi="黑体" w:eastAsia="黑体" w:cs="宋体"/>
          <w:bCs/>
          <w:kern w:val="0"/>
          <w:sz w:val="32"/>
          <w:szCs w:val="32"/>
        </w:rPr>
      </w:pPr>
      <w:r>
        <w:rPr>
          <w:rFonts w:ascii="??_GB2312" w:hAnsi="宋体" w:eastAsia="Times New Roman" w:cs="宋体"/>
          <w:bCs/>
          <w:kern w:val="0"/>
          <w:sz w:val="32"/>
          <w:szCs w:val="32"/>
        </w:rPr>
        <w:t xml:space="preserve"> </w:t>
      </w:r>
      <w:r>
        <w:rPr>
          <w:rFonts w:ascii="??_GB2312" w:hAnsi="宋体" w:eastAsia="Times New Roman" w:cs="宋体"/>
          <w:kern w:val="0"/>
          <w:sz w:val="32"/>
          <w:szCs w:val="32"/>
        </w:rPr>
        <w:t xml:space="preserve">　  </w:t>
      </w:r>
      <w:r>
        <w:rPr>
          <w:rFonts w:hint="eastAsia" w:ascii="黑体" w:hAnsi="黑体" w:eastAsia="黑体" w:cs="宋体"/>
          <w:bCs/>
          <w:kern w:val="0"/>
          <w:sz w:val="32"/>
          <w:szCs w:val="32"/>
        </w:rPr>
        <w:t>二、机构设置及人员情况</w:t>
      </w:r>
    </w:p>
    <w:p>
      <w:pPr>
        <w:widowControl/>
        <w:shd w:val="clear" w:color="auto" w:fill="FFFFFF"/>
        <w:spacing w:line="450" w:lineRule="atLeast"/>
        <w:ind w:firstLine="420"/>
        <w:jc w:val="left"/>
        <w:rPr>
          <w:rFonts w:ascii="??_GB2312" w:hAnsi="??_GB2312" w:eastAsia="Times New Roman" w:cs="宋体"/>
          <w:color w:val="414141"/>
          <w:kern w:val="0"/>
          <w:sz w:val="32"/>
          <w:szCs w:val="32"/>
        </w:rPr>
      </w:pPr>
      <w:r>
        <w:rPr>
          <w:rFonts w:ascii="??_GB2312" w:hAnsi="??_GB2312" w:eastAsia="Times New Roman" w:cs="宋体"/>
          <w:kern w:val="0"/>
          <w:sz w:val="32"/>
          <w:szCs w:val="32"/>
        </w:rPr>
        <w:t xml:space="preserve">   </w:t>
      </w:r>
      <w:r>
        <w:rPr>
          <w:rFonts w:hint="eastAsia" w:ascii="宋体" w:hAnsi="宋体" w:cs="宋体"/>
          <w:color w:val="000000"/>
          <w:kern w:val="0"/>
          <w:sz w:val="32"/>
          <w:szCs w:val="32"/>
          <w:lang w:eastAsia="zh-CN"/>
        </w:rPr>
        <w:t>克孜勒苏柯尔克孜自治州林业工作管理站（林业技术推广站）</w:t>
      </w:r>
      <w:r>
        <w:rPr>
          <w:rFonts w:hint="eastAsia" w:ascii="宋体" w:hAnsi="宋体" w:cs="宋体"/>
          <w:color w:val="000000"/>
          <w:kern w:val="0"/>
          <w:sz w:val="32"/>
          <w:szCs w:val="32"/>
        </w:rPr>
        <w:t>无下属预算单位，下设四个科室，分别是：办公室，工程管理科（工程管理中心），林业技术推广科（克州林学会、林业技术推广中心）和林业调查规划设计科（自治州林业调查规划设计队）。</w:t>
      </w:r>
    </w:p>
    <w:p>
      <w:pPr>
        <w:widowControl/>
        <w:shd w:val="clear" w:color="auto" w:fill="FFFFFF"/>
        <w:spacing w:line="450" w:lineRule="atLeast"/>
        <w:ind w:firstLine="420"/>
        <w:jc w:val="left"/>
        <w:rPr>
          <w:rFonts w:ascii="??_GB2312" w:hAnsi="??_GB2312" w:eastAsia="Times New Roman" w:cs="宋体"/>
          <w:color w:val="414141"/>
          <w:kern w:val="0"/>
          <w:sz w:val="32"/>
          <w:szCs w:val="32"/>
        </w:rPr>
      </w:pPr>
      <w:r>
        <w:rPr>
          <w:rFonts w:hint="eastAsia" w:ascii="宋体" w:hAnsi="宋体" w:cs="宋体"/>
          <w:color w:val="000000"/>
          <w:kern w:val="0"/>
          <w:sz w:val="32"/>
          <w:szCs w:val="32"/>
          <w:lang w:eastAsia="zh-CN"/>
        </w:rPr>
        <w:t>克孜勒苏柯尔克孜自治州林业工作管理站（林业技术推广站）</w:t>
      </w:r>
      <w:r>
        <w:rPr>
          <w:rFonts w:hint="eastAsia" w:ascii="宋体" w:hAnsi="宋体" w:cs="宋体"/>
          <w:color w:val="000000"/>
          <w:kern w:val="0"/>
          <w:sz w:val="32"/>
          <w:szCs w:val="32"/>
        </w:rPr>
        <w:t>编制数</w:t>
      </w:r>
      <w:r>
        <w:rPr>
          <w:rFonts w:ascii="??_GB2312" w:hAnsi="??_GB2312" w:eastAsia="Times New Roman" w:cs="宋体"/>
          <w:color w:val="000000"/>
          <w:kern w:val="0"/>
          <w:sz w:val="32"/>
          <w:szCs w:val="32"/>
        </w:rPr>
        <w:t>27</w:t>
      </w:r>
      <w:r>
        <w:rPr>
          <w:rFonts w:hint="eastAsia" w:ascii="宋体" w:hAnsi="宋体" w:cs="宋体"/>
          <w:color w:val="000000"/>
          <w:kern w:val="0"/>
          <w:sz w:val="32"/>
          <w:szCs w:val="32"/>
        </w:rPr>
        <w:t>个，实有人数</w:t>
      </w:r>
      <w:r>
        <w:rPr>
          <w:rFonts w:ascii="??_GB2312" w:hAnsi="??_GB2312" w:eastAsia="Times New Roman" w:cs="宋体"/>
          <w:color w:val="000000"/>
          <w:kern w:val="0"/>
          <w:sz w:val="32"/>
          <w:szCs w:val="32"/>
        </w:rPr>
        <w:t>36</w:t>
      </w:r>
      <w:r>
        <w:rPr>
          <w:rFonts w:hint="eastAsia" w:ascii="宋体" w:hAnsi="宋体" w:cs="宋体"/>
          <w:color w:val="000000"/>
          <w:kern w:val="0"/>
          <w:sz w:val="32"/>
          <w:szCs w:val="32"/>
        </w:rPr>
        <w:t>人，其中：在职</w:t>
      </w:r>
      <w:r>
        <w:rPr>
          <w:rFonts w:ascii="??_GB2312" w:hAnsi="??_GB2312" w:eastAsia="Times New Roman" w:cs="宋体"/>
          <w:color w:val="000000"/>
          <w:kern w:val="0"/>
          <w:sz w:val="32"/>
          <w:szCs w:val="32"/>
        </w:rPr>
        <w:t>24</w:t>
      </w:r>
      <w:r>
        <w:rPr>
          <w:rFonts w:hint="eastAsia" w:ascii="宋体" w:hAnsi="宋体" w:cs="宋体"/>
          <w:color w:val="000000"/>
          <w:kern w:val="0"/>
          <w:sz w:val="32"/>
          <w:szCs w:val="32"/>
        </w:rPr>
        <w:t>人，增加或</w:t>
      </w:r>
      <w:r>
        <w:rPr>
          <w:rFonts w:ascii="??_GB2312" w:hAnsi="??_GB2312" w:eastAsia="Times New Roman" w:cs="宋体"/>
          <w:color w:val="000000"/>
          <w:kern w:val="0"/>
          <w:sz w:val="32"/>
          <w:szCs w:val="32"/>
        </w:rPr>
        <w:t>1</w:t>
      </w:r>
      <w:r>
        <w:rPr>
          <w:rFonts w:hint="eastAsia" w:ascii="宋体" w:hAnsi="宋体" w:cs="宋体"/>
          <w:color w:val="000000"/>
          <w:kern w:val="0"/>
          <w:sz w:val="32"/>
          <w:szCs w:val="32"/>
        </w:rPr>
        <w:t>人，减少</w:t>
      </w:r>
      <w:r>
        <w:rPr>
          <w:rFonts w:ascii="??_GB2312" w:hAnsi="??_GB2312" w:eastAsia="Times New Roman" w:cs="宋体"/>
          <w:color w:val="000000"/>
          <w:kern w:val="0"/>
          <w:sz w:val="32"/>
          <w:szCs w:val="32"/>
        </w:rPr>
        <w:t>1</w:t>
      </w:r>
      <w:r>
        <w:rPr>
          <w:rFonts w:hint="eastAsia" w:ascii="宋体" w:hAnsi="宋体" w:cs="宋体"/>
          <w:color w:val="000000"/>
          <w:kern w:val="0"/>
          <w:sz w:val="32"/>
          <w:szCs w:val="32"/>
        </w:rPr>
        <w:t>人；退休</w:t>
      </w:r>
      <w:r>
        <w:rPr>
          <w:rFonts w:ascii="??_GB2312" w:hAnsi="??_GB2312" w:eastAsia="Times New Roman" w:cs="宋体"/>
          <w:color w:val="000000"/>
          <w:kern w:val="0"/>
          <w:sz w:val="32"/>
          <w:szCs w:val="32"/>
        </w:rPr>
        <w:t>12 </w:t>
      </w:r>
      <w:r>
        <w:rPr>
          <w:rFonts w:hint="eastAsia" w:ascii="宋体" w:hAnsi="宋体" w:cs="宋体"/>
          <w:color w:val="000000"/>
          <w:kern w:val="0"/>
          <w:sz w:val="32"/>
          <w:szCs w:val="32"/>
        </w:rPr>
        <w:t>人，增加</w:t>
      </w:r>
      <w:r>
        <w:rPr>
          <w:rFonts w:ascii="??_GB2312" w:hAnsi="??_GB2312" w:eastAsia="Times New Roman" w:cs="宋体"/>
          <w:color w:val="000000"/>
          <w:kern w:val="0"/>
          <w:sz w:val="32"/>
          <w:szCs w:val="32"/>
        </w:rPr>
        <w:t>0</w:t>
      </w:r>
      <w:r>
        <w:rPr>
          <w:rFonts w:hint="eastAsia" w:ascii="宋体" w:hAnsi="宋体" w:cs="宋体"/>
          <w:color w:val="000000"/>
          <w:kern w:val="0"/>
          <w:sz w:val="32"/>
          <w:szCs w:val="32"/>
        </w:rPr>
        <w:t>人；离休</w:t>
      </w:r>
      <w:r>
        <w:rPr>
          <w:rFonts w:ascii="??_GB2312" w:hAnsi="??_GB2312" w:eastAsia="Times New Roman" w:cs="宋体"/>
          <w:color w:val="000000"/>
          <w:kern w:val="0"/>
          <w:sz w:val="32"/>
          <w:szCs w:val="32"/>
        </w:rPr>
        <w:t>0</w:t>
      </w:r>
      <w:r>
        <w:rPr>
          <w:rFonts w:hint="eastAsia" w:ascii="宋体" w:hAnsi="宋体" w:cs="宋体"/>
          <w:color w:val="000000"/>
          <w:kern w:val="0"/>
          <w:sz w:val="32"/>
          <w:szCs w:val="32"/>
        </w:rPr>
        <w:t>人，增加或减少</w:t>
      </w:r>
      <w:r>
        <w:rPr>
          <w:rFonts w:ascii="??_GB2312" w:hAnsi="??_GB2312" w:eastAsia="Times New Roman" w:cs="宋体"/>
          <w:color w:val="000000"/>
          <w:kern w:val="0"/>
          <w:sz w:val="32"/>
          <w:szCs w:val="32"/>
        </w:rPr>
        <w:t>0</w:t>
      </w:r>
      <w:r>
        <w:rPr>
          <w:rFonts w:hint="eastAsia" w:ascii="宋体" w:hAnsi="宋体" w:cs="宋体"/>
          <w:color w:val="000000"/>
          <w:kern w:val="0"/>
          <w:sz w:val="32"/>
          <w:szCs w:val="32"/>
        </w:rPr>
        <w:t>人。</w:t>
      </w:r>
    </w:p>
    <w:p>
      <w:pPr>
        <w:widowControl/>
        <w:spacing w:line="560" w:lineRule="exact"/>
        <w:jc w:val="left"/>
        <w:rPr>
          <w:rFonts w:ascii="??_GB2312" w:hAnsi="宋体" w:eastAsia="Times New Roman" w:cs="宋体"/>
          <w:kern w:val="0"/>
          <w:sz w:val="32"/>
          <w:szCs w:val="32"/>
        </w:rPr>
      </w:pPr>
    </w:p>
    <w:p>
      <w:pPr>
        <w:widowControl/>
        <w:spacing w:line="560" w:lineRule="exact"/>
        <w:jc w:val="left"/>
        <w:rPr>
          <w:rFonts w:ascii="??_GB2312" w:hAnsi="宋体" w:eastAsia="Times New Roman"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2019</w:t>
      </w:r>
      <w:r>
        <w:rPr>
          <w:rFonts w:hint="eastAsia" w:ascii="黑体" w:hAnsi="黑体" w:eastAsia="黑体"/>
          <w:kern w:val="0"/>
          <w:sz w:val="32"/>
          <w:szCs w:val="32"/>
        </w:rPr>
        <w:t>年部门预算公开表</w:t>
      </w:r>
    </w:p>
    <w:p>
      <w:pPr>
        <w:widowControl/>
        <w:spacing w:beforeLines="50"/>
        <w:outlineLvl w:val="1"/>
        <w:rPr>
          <w:rFonts w:ascii="??_GB2312" w:hAnsi="宋体" w:eastAsia="Times New Roman"/>
          <w:b/>
          <w:kern w:val="0"/>
          <w:szCs w:val="21"/>
        </w:rPr>
      </w:pPr>
      <w:r>
        <w:rPr>
          <w:rFonts w:ascii="??_GB2312" w:hAnsi="宋体" w:eastAsia="Times New Roman"/>
          <w:b/>
          <w:kern w:val="0"/>
          <w:szCs w:val="21"/>
        </w:rPr>
        <w:t>表一：</w:t>
      </w:r>
    </w:p>
    <w:p>
      <w:pPr>
        <w:widowControl/>
        <w:jc w:val="center"/>
        <w:outlineLvl w:val="1"/>
        <w:rPr>
          <w:rFonts w:ascii="??_GB2312" w:hAnsi="宋体" w:eastAsia="Times New Roman"/>
          <w:b/>
          <w:kern w:val="0"/>
          <w:sz w:val="24"/>
        </w:rPr>
      </w:pPr>
      <w:r>
        <w:rPr>
          <w:rFonts w:ascii="??_GB2312" w:hAnsi="宋体" w:eastAsia="Times New Roman"/>
          <w:b/>
          <w:kern w:val="0"/>
          <w:sz w:val="24"/>
        </w:rPr>
        <w:t>部门收支总体情况表</w:t>
      </w:r>
    </w:p>
    <w:p>
      <w:pPr>
        <w:widowControl/>
        <w:outlineLvl w:val="1"/>
        <w:rPr>
          <w:rFonts w:ascii="??_GB2312" w:hAnsi="宋体" w:eastAsia="Times New Roman"/>
          <w:kern w:val="0"/>
          <w:sz w:val="24"/>
        </w:rPr>
      </w:pPr>
      <w:r>
        <w:rPr>
          <w:rFonts w:ascii="??_GB2312" w:hAnsi="宋体" w:eastAsia="Times New Roman"/>
          <w:kern w:val="0"/>
          <w:sz w:val="24"/>
        </w:rPr>
        <w:t>编制部门</w:t>
      </w:r>
      <w:r>
        <w:rPr>
          <w:rFonts w:hint="eastAsia" w:ascii="??_GB2312" w:hAnsi="宋体"/>
          <w:kern w:val="0"/>
          <w:sz w:val="24"/>
          <w:lang w:eastAsia="zh-CN"/>
        </w:rPr>
        <w:t>：</w:t>
      </w:r>
      <w:r>
        <w:rPr>
          <w:rFonts w:hint="eastAsia" w:ascii="??_GB2312" w:hAnsi="宋体"/>
          <w:kern w:val="0"/>
          <w:sz w:val="18"/>
          <w:szCs w:val="18"/>
          <w:lang w:eastAsia="zh-CN"/>
        </w:rPr>
        <w:t>克孜勒苏柯尔克孜自治州林业工作管理站（林业技术推广站）</w:t>
      </w:r>
      <w:r>
        <w:rPr>
          <w:rFonts w:ascii="??_GB2312" w:hAnsi="宋体" w:eastAsia="Times New Roman"/>
          <w:kern w:val="0"/>
          <w:sz w:val="21"/>
          <w:szCs w:val="21"/>
        </w:rPr>
        <w:t xml:space="preserve"> </w:t>
      </w:r>
      <w:r>
        <w:rPr>
          <w:rFonts w:ascii="??_GB2312" w:hAnsi="宋体" w:eastAsia="Times New Roman"/>
          <w:kern w:val="0"/>
          <w:sz w:val="24"/>
        </w:rPr>
        <w:t xml:space="preserve">                                  单位：万元</w:t>
      </w:r>
    </w:p>
    <w:tbl>
      <w:tblPr>
        <w:tblStyle w:val="7"/>
        <w:tblW w:w="9135" w:type="dxa"/>
        <w:tblInd w:w="0" w:type="dxa"/>
        <w:tblLayout w:type="fixed"/>
        <w:tblCellMar>
          <w:top w:w="15" w:type="dxa"/>
          <w:left w:w="15" w:type="dxa"/>
          <w:bottom w:w="15" w:type="dxa"/>
          <w:right w:w="15" w:type="dxa"/>
        </w:tblCellMar>
      </w:tblPr>
      <w:tblGrid>
        <w:gridCol w:w="2520"/>
        <w:gridCol w:w="1845"/>
        <w:gridCol w:w="2955"/>
        <w:gridCol w:w="1815"/>
      </w:tblGrid>
      <w:tr>
        <w:tblPrEx>
          <w:tblCellMar>
            <w:top w:w="15" w:type="dxa"/>
            <w:left w:w="15" w:type="dxa"/>
            <w:bottom w:w="15" w:type="dxa"/>
            <w:right w:w="15" w:type="dxa"/>
          </w:tblCellMar>
        </w:tblPrEx>
        <w:trPr>
          <w:trHeight w:val="270" w:hRule="atLeast"/>
        </w:trPr>
        <w:tc>
          <w:tcPr>
            <w:tcW w:w="43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收</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入</w:t>
            </w:r>
          </w:p>
        </w:tc>
        <w:tc>
          <w:tcPr>
            <w:tcW w:w="47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支</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出</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项</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目</w:t>
            </w:r>
          </w:p>
        </w:tc>
        <w:tc>
          <w:tcPr>
            <w:tcW w:w="1845" w:type="dxa"/>
            <w:tcBorders>
              <w:top w:val="single" w:color="000000" w:sz="4" w:space="0"/>
              <w:left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预算数</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功能分类</w:t>
            </w:r>
          </w:p>
        </w:tc>
        <w:tc>
          <w:tcPr>
            <w:tcW w:w="1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预算数</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一、财政拨款（补助）</w:t>
            </w: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201 </w:t>
            </w:r>
            <w:r>
              <w:rPr>
                <w:rFonts w:hint="eastAsia" w:ascii="宋体" w:hAnsi="宋体" w:cs="宋体"/>
                <w:b/>
                <w:bCs/>
                <w:color w:val="000000"/>
                <w:kern w:val="0"/>
                <w:sz w:val="20"/>
                <w:szCs w:val="20"/>
              </w:rPr>
              <w:t>一般公共服务支出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一般公共预算</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202 </w:t>
            </w:r>
            <w:r>
              <w:rPr>
                <w:rFonts w:hint="eastAsia" w:ascii="宋体" w:hAnsi="宋体" w:cs="宋体"/>
                <w:b/>
                <w:bCs/>
                <w:color w:val="000000"/>
                <w:kern w:val="0"/>
                <w:sz w:val="20"/>
                <w:szCs w:val="20"/>
              </w:rPr>
              <w:t>外交支出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政府性基金预算</w:t>
            </w:r>
          </w:p>
        </w:tc>
        <w:tc>
          <w:tcPr>
            <w:tcW w:w="1845"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203 </w:t>
            </w:r>
            <w:r>
              <w:rPr>
                <w:rFonts w:hint="eastAsia" w:ascii="宋体" w:hAnsi="宋体" w:cs="宋体"/>
                <w:b/>
                <w:bCs/>
                <w:color w:val="000000"/>
                <w:kern w:val="0"/>
                <w:sz w:val="20"/>
                <w:szCs w:val="20"/>
              </w:rPr>
              <w:t>国防支出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教育收费（财政专户）</w:t>
            </w:r>
          </w:p>
        </w:tc>
        <w:tc>
          <w:tcPr>
            <w:tcW w:w="1845"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204 </w:t>
            </w:r>
            <w:r>
              <w:rPr>
                <w:rFonts w:hint="eastAsia" w:ascii="宋体" w:hAnsi="宋体" w:cs="宋体"/>
                <w:b/>
                <w:bCs/>
                <w:color w:val="000000"/>
                <w:kern w:val="0"/>
                <w:sz w:val="20"/>
                <w:szCs w:val="20"/>
              </w:rPr>
              <w:t>公共安全支出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事业收入</w:t>
            </w:r>
          </w:p>
        </w:tc>
        <w:tc>
          <w:tcPr>
            <w:tcW w:w="1845"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205 </w:t>
            </w:r>
            <w:r>
              <w:rPr>
                <w:rFonts w:hint="eastAsia" w:ascii="宋体" w:hAnsi="宋体" w:cs="宋体"/>
                <w:b/>
                <w:bCs/>
                <w:color w:val="000000"/>
                <w:kern w:val="0"/>
                <w:sz w:val="20"/>
                <w:szCs w:val="20"/>
              </w:rPr>
              <w:t>教育支出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上级补助收入</w:t>
            </w:r>
          </w:p>
        </w:tc>
        <w:tc>
          <w:tcPr>
            <w:tcW w:w="1845"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5</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206 </w:t>
            </w:r>
            <w:r>
              <w:rPr>
                <w:rFonts w:hint="eastAsia" w:ascii="宋体" w:hAnsi="宋体" w:cs="宋体"/>
                <w:b/>
                <w:bCs/>
                <w:color w:val="000000"/>
                <w:kern w:val="0"/>
                <w:sz w:val="20"/>
                <w:szCs w:val="20"/>
              </w:rPr>
              <w:t>科学技术支出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8.83</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事业单位经营收入</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207 </w:t>
            </w:r>
            <w:r>
              <w:rPr>
                <w:rFonts w:hint="eastAsia" w:ascii="宋体" w:hAnsi="宋体" w:cs="宋体"/>
                <w:b/>
                <w:bCs/>
                <w:color w:val="000000"/>
                <w:kern w:val="0"/>
                <w:sz w:val="20"/>
                <w:szCs w:val="20"/>
              </w:rPr>
              <w:t>文化体育与传媒支出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其他收入</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208 </w:t>
            </w:r>
            <w:r>
              <w:rPr>
                <w:rFonts w:hint="eastAsia" w:ascii="宋体" w:hAnsi="宋体" w:cs="宋体"/>
                <w:b/>
                <w:bCs/>
                <w:color w:val="000000"/>
                <w:kern w:val="0"/>
                <w:sz w:val="20"/>
                <w:szCs w:val="20"/>
              </w:rPr>
              <w:t>社会保障和就业支出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预算外收入</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209 </w:t>
            </w:r>
            <w:r>
              <w:rPr>
                <w:rFonts w:hint="eastAsia" w:ascii="宋体" w:hAnsi="宋体" w:cs="宋体"/>
                <w:b/>
                <w:bCs/>
                <w:color w:val="000000"/>
                <w:kern w:val="0"/>
                <w:sz w:val="20"/>
                <w:szCs w:val="20"/>
              </w:rPr>
              <w:t>社会保险基金支出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用事业基金弥补收支差额</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210 </w:t>
            </w:r>
            <w:r>
              <w:rPr>
                <w:rFonts w:hint="eastAsia" w:ascii="宋体" w:hAnsi="宋体" w:cs="宋体"/>
                <w:b/>
                <w:bCs/>
                <w:color w:val="000000"/>
                <w:kern w:val="0"/>
                <w:sz w:val="20"/>
                <w:szCs w:val="20"/>
              </w:rPr>
              <w:t>医疗卫生与计划生育支出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211 </w:t>
            </w:r>
            <w:r>
              <w:rPr>
                <w:rFonts w:hint="eastAsia" w:ascii="宋体" w:hAnsi="宋体" w:cs="宋体"/>
                <w:b/>
                <w:bCs/>
                <w:color w:val="000000"/>
                <w:kern w:val="0"/>
                <w:sz w:val="20"/>
                <w:szCs w:val="20"/>
              </w:rPr>
              <w:t>节能环保支出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212 </w:t>
            </w:r>
            <w:r>
              <w:rPr>
                <w:rFonts w:hint="eastAsia" w:ascii="宋体" w:hAnsi="宋体" w:cs="宋体"/>
                <w:b/>
                <w:bCs/>
                <w:color w:val="000000"/>
                <w:kern w:val="0"/>
                <w:sz w:val="20"/>
                <w:szCs w:val="20"/>
              </w:rPr>
              <w:t>城乡社区支出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213 </w:t>
            </w:r>
            <w:r>
              <w:rPr>
                <w:rFonts w:hint="eastAsia" w:ascii="宋体" w:hAnsi="宋体" w:cs="宋体"/>
                <w:b/>
                <w:bCs/>
                <w:color w:val="000000"/>
                <w:kern w:val="0"/>
                <w:sz w:val="20"/>
                <w:szCs w:val="20"/>
              </w:rPr>
              <w:t>农林水支出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375.97</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214 </w:t>
            </w:r>
            <w:r>
              <w:rPr>
                <w:rFonts w:hint="eastAsia" w:ascii="宋体" w:hAnsi="宋体" w:cs="宋体"/>
                <w:b/>
                <w:bCs/>
                <w:color w:val="000000"/>
                <w:kern w:val="0"/>
                <w:sz w:val="20"/>
                <w:szCs w:val="20"/>
              </w:rPr>
              <w:t>交通运输支出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215 </w:t>
            </w:r>
            <w:r>
              <w:rPr>
                <w:rFonts w:hint="eastAsia" w:ascii="宋体" w:hAnsi="宋体" w:cs="宋体"/>
                <w:b/>
                <w:bCs/>
                <w:color w:val="000000"/>
                <w:kern w:val="0"/>
                <w:sz w:val="20"/>
                <w:szCs w:val="20"/>
              </w:rPr>
              <w:t>资源勘探信息等支出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216 </w:t>
            </w:r>
            <w:r>
              <w:rPr>
                <w:rFonts w:hint="eastAsia" w:ascii="宋体" w:hAnsi="宋体" w:cs="宋体"/>
                <w:b/>
                <w:bCs/>
                <w:color w:val="000000"/>
                <w:kern w:val="0"/>
                <w:sz w:val="20"/>
                <w:szCs w:val="20"/>
              </w:rPr>
              <w:t>商业服务业等支出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217 </w:t>
            </w:r>
            <w:r>
              <w:rPr>
                <w:rFonts w:hint="eastAsia" w:ascii="宋体" w:hAnsi="宋体" w:cs="宋体"/>
                <w:b/>
                <w:bCs/>
                <w:color w:val="000000"/>
                <w:kern w:val="0"/>
                <w:sz w:val="20"/>
                <w:szCs w:val="20"/>
              </w:rPr>
              <w:t>金融支出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219 </w:t>
            </w:r>
            <w:r>
              <w:rPr>
                <w:rFonts w:hint="eastAsia" w:ascii="宋体" w:hAnsi="宋体" w:cs="宋体"/>
                <w:b/>
                <w:bCs/>
                <w:color w:val="000000"/>
                <w:kern w:val="0"/>
                <w:sz w:val="20"/>
                <w:szCs w:val="20"/>
              </w:rPr>
              <w:t>援助其他地区支出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220 </w:t>
            </w:r>
            <w:r>
              <w:rPr>
                <w:rFonts w:hint="eastAsia" w:ascii="宋体" w:hAnsi="宋体" w:cs="宋体"/>
                <w:b/>
                <w:bCs/>
                <w:color w:val="000000"/>
                <w:kern w:val="0"/>
                <w:sz w:val="20"/>
                <w:szCs w:val="20"/>
              </w:rPr>
              <w:t>国土资源气象等支出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221 </w:t>
            </w:r>
            <w:r>
              <w:rPr>
                <w:rFonts w:hint="eastAsia" w:ascii="宋体" w:hAnsi="宋体" w:cs="宋体"/>
                <w:b/>
                <w:bCs/>
                <w:color w:val="000000"/>
                <w:kern w:val="0"/>
                <w:sz w:val="20"/>
                <w:szCs w:val="20"/>
              </w:rPr>
              <w:t>住房保障支出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222 </w:t>
            </w:r>
            <w:r>
              <w:rPr>
                <w:rFonts w:hint="eastAsia" w:ascii="宋体" w:hAnsi="宋体" w:cs="宋体"/>
                <w:b/>
                <w:bCs/>
                <w:color w:val="000000"/>
                <w:kern w:val="0"/>
                <w:sz w:val="20"/>
                <w:szCs w:val="20"/>
              </w:rPr>
              <w:t>粮油物资管理支出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223 </w:t>
            </w:r>
            <w:r>
              <w:rPr>
                <w:rFonts w:hint="eastAsia" w:ascii="宋体" w:hAnsi="宋体" w:cs="宋体"/>
                <w:b/>
                <w:bCs/>
                <w:color w:val="000000"/>
                <w:kern w:val="0"/>
                <w:sz w:val="20"/>
                <w:szCs w:val="20"/>
              </w:rPr>
              <w:t>国有资本经营预算支出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227 </w:t>
            </w:r>
            <w:r>
              <w:rPr>
                <w:rFonts w:hint="eastAsia" w:ascii="宋体" w:hAnsi="宋体" w:cs="宋体"/>
                <w:b/>
                <w:bCs/>
                <w:color w:val="000000"/>
                <w:kern w:val="0"/>
                <w:sz w:val="20"/>
                <w:szCs w:val="20"/>
              </w:rPr>
              <w:t>预备费</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229 </w:t>
            </w:r>
            <w:r>
              <w:rPr>
                <w:rFonts w:hint="eastAsia" w:ascii="宋体" w:hAnsi="宋体" w:cs="宋体"/>
                <w:b/>
                <w:bCs/>
                <w:color w:val="000000"/>
                <w:kern w:val="0"/>
                <w:sz w:val="20"/>
                <w:szCs w:val="20"/>
              </w:rPr>
              <w:t>其他支出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ascii="??_GB2312" w:hAnsi="??_GB2312" w:eastAsia="Times New Roman" w:cs="??_GB2312"/>
                <w:b/>
                <w:bCs/>
                <w:color w:val="000000"/>
                <w:kern w:val="0"/>
                <w:sz w:val="18"/>
                <w:szCs w:val="18"/>
              </w:rPr>
              <w:t xml:space="preserve">231 </w:t>
            </w:r>
            <w:r>
              <w:rPr>
                <w:rFonts w:hint="eastAsia" w:ascii="宋体" w:hAnsi="宋体" w:cs="宋体"/>
                <w:b/>
                <w:bCs/>
                <w:color w:val="000000"/>
                <w:kern w:val="0"/>
                <w:sz w:val="18"/>
                <w:szCs w:val="18"/>
              </w:rPr>
              <w:t>债务还本支出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232 </w:t>
            </w:r>
            <w:r>
              <w:rPr>
                <w:rFonts w:hint="eastAsia" w:ascii="宋体" w:hAnsi="宋体" w:cs="宋体"/>
                <w:b/>
                <w:bCs/>
                <w:color w:val="000000"/>
                <w:kern w:val="0"/>
                <w:sz w:val="20"/>
                <w:szCs w:val="20"/>
              </w:rPr>
              <w:t>债务付息支出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845"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233 </w:t>
            </w:r>
            <w:r>
              <w:rPr>
                <w:rFonts w:hint="eastAsia" w:ascii="宋体" w:hAnsi="宋体" w:cs="宋体"/>
                <w:b/>
                <w:bCs/>
                <w:color w:val="000000"/>
                <w:kern w:val="0"/>
                <w:sz w:val="20"/>
                <w:szCs w:val="20"/>
              </w:rPr>
              <w:t>债务发行费支出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本</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年</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收</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入</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小</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360.27</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本</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年</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支</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出</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小</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384.8</w:t>
            </w: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单位上年结余（不包含国库集中支付额度结余）</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24.53</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ind w:firstLine="800" w:firstLineChars="400"/>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230 </w:t>
            </w:r>
            <w:r>
              <w:rPr>
                <w:rFonts w:hint="eastAsia" w:ascii="宋体" w:hAnsi="宋体" w:cs="宋体"/>
                <w:b/>
                <w:bCs/>
                <w:color w:val="000000"/>
                <w:kern w:val="0"/>
                <w:sz w:val="20"/>
                <w:szCs w:val="20"/>
              </w:rPr>
              <w:t>转移性支出</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收</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入</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总</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384.8</w:t>
            </w:r>
          </w:p>
        </w:tc>
        <w:tc>
          <w:tcPr>
            <w:tcW w:w="29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支</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出</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总</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81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384.8</w:t>
            </w:r>
          </w:p>
        </w:tc>
      </w:tr>
    </w:tbl>
    <w:p>
      <w:pPr>
        <w:widowControl/>
        <w:outlineLvl w:val="1"/>
        <w:rPr>
          <w:rFonts w:ascii="??_GB2312" w:hAnsi="宋体" w:eastAsia="Times New Roman"/>
          <w:b/>
          <w:kern w:val="0"/>
          <w:sz w:val="28"/>
          <w:szCs w:val="32"/>
        </w:rPr>
      </w:pPr>
    </w:p>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表二：</w:t>
      </w:r>
    </w:p>
    <w:p>
      <w:pPr>
        <w:widowControl/>
        <w:jc w:val="center"/>
        <w:outlineLvl w:val="1"/>
        <w:rPr>
          <w:rFonts w:ascii="??_GB2312" w:hAnsi="宋体" w:eastAsia="Times New Roman"/>
          <w:b/>
          <w:kern w:val="0"/>
          <w:sz w:val="32"/>
          <w:szCs w:val="32"/>
        </w:rPr>
      </w:pPr>
      <w:r>
        <w:rPr>
          <w:rFonts w:ascii="??_GB2312" w:hAnsi="宋体" w:eastAsia="Times New Roman"/>
          <w:b/>
          <w:kern w:val="0"/>
          <w:sz w:val="32"/>
          <w:szCs w:val="32"/>
        </w:rPr>
        <w:t>部门收入总体情况表</w:t>
      </w:r>
    </w:p>
    <w:p>
      <w:pPr>
        <w:widowControl/>
        <w:jc w:val="left"/>
        <w:outlineLvl w:val="1"/>
        <w:rPr>
          <w:rFonts w:ascii="??_GB2312" w:hAnsi="宋体" w:eastAsia="Times New Roman"/>
          <w:kern w:val="0"/>
          <w:sz w:val="24"/>
        </w:rPr>
      </w:pPr>
      <w:r>
        <w:rPr>
          <w:rFonts w:ascii="??_GB2312" w:hAnsi="宋体" w:eastAsia="Times New Roman"/>
          <w:kern w:val="0"/>
          <w:sz w:val="24"/>
        </w:rPr>
        <w:t>填报部门：</w:t>
      </w:r>
      <w:r>
        <w:rPr>
          <w:rFonts w:ascii="??_GB2312" w:hAnsi="宋体" w:eastAsia="Times New Roman"/>
          <w:kern w:val="0"/>
          <w:sz w:val="18"/>
          <w:szCs w:val="18"/>
        </w:rPr>
        <w:t xml:space="preserve"> </w:t>
      </w:r>
      <w:r>
        <w:rPr>
          <w:rFonts w:hint="eastAsia" w:ascii="??_GB2312" w:hAnsi="宋体"/>
          <w:kern w:val="0"/>
          <w:sz w:val="18"/>
          <w:szCs w:val="18"/>
          <w:lang w:eastAsia="zh-CN"/>
        </w:rPr>
        <w:t>克孜勒苏柯尔克孜自治州林业工作管理站（林业技术推广站）</w:t>
      </w:r>
      <w:r>
        <w:rPr>
          <w:rFonts w:ascii="??_GB2312" w:hAnsi="宋体" w:eastAsia="Times New Roman"/>
          <w:kern w:val="0"/>
          <w:sz w:val="24"/>
        </w:rPr>
        <w:t xml:space="preserve">            单位：</w:t>
      </w:r>
      <w:r>
        <w:rPr>
          <w:rFonts w:hint="eastAsia" w:ascii="??_GB2312" w:hAnsi="宋体"/>
          <w:kern w:val="0"/>
          <w:sz w:val="18"/>
          <w:szCs w:val="18"/>
          <w:lang w:eastAsia="zh-CN"/>
        </w:rPr>
        <w:t>万元</w:t>
      </w:r>
    </w:p>
    <w:tbl>
      <w:tblPr>
        <w:tblStyle w:val="7"/>
        <w:tblW w:w="9802" w:type="dxa"/>
        <w:tblInd w:w="0" w:type="dxa"/>
        <w:tblLayout w:type="fixed"/>
        <w:tblCellMar>
          <w:top w:w="15" w:type="dxa"/>
          <w:left w:w="15" w:type="dxa"/>
          <w:bottom w:w="15" w:type="dxa"/>
          <w:right w:w="15" w:type="dxa"/>
        </w:tblCellMar>
      </w:tblPr>
      <w:tblGrid>
        <w:gridCol w:w="495"/>
        <w:gridCol w:w="450"/>
        <w:gridCol w:w="435"/>
        <w:gridCol w:w="1875"/>
        <w:gridCol w:w="588"/>
        <w:gridCol w:w="708"/>
        <w:gridCol w:w="429"/>
        <w:gridCol w:w="422"/>
        <w:gridCol w:w="694"/>
        <w:gridCol w:w="565"/>
        <w:gridCol w:w="595"/>
        <w:gridCol w:w="551"/>
        <w:gridCol w:w="521"/>
        <w:gridCol w:w="758"/>
        <w:gridCol w:w="716"/>
      </w:tblGrid>
      <w:tr>
        <w:tblPrEx>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功能分类科目编码</w:t>
            </w:r>
          </w:p>
        </w:tc>
        <w:tc>
          <w:tcPr>
            <w:tcW w:w="18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功能分类科目名称</w:t>
            </w:r>
          </w:p>
        </w:tc>
        <w:tc>
          <w:tcPr>
            <w:tcW w:w="5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总计</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一般公共预算拨款</w:t>
            </w:r>
          </w:p>
        </w:tc>
        <w:tc>
          <w:tcPr>
            <w:tcW w:w="4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政府性基金预算拨款</w:t>
            </w:r>
          </w:p>
        </w:tc>
        <w:tc>
          <w:tcPr>
            <w:tcW w:w="42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财政专户管理资金</w:t>
            </w:r>
          </w:p>
        </w:tc>
        <w:tc>
          <w:tcPr>
            <w:tcW w:w="6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事业收入</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上级补助收入</w:t>
            </w:r>
          </w:p>
        </w:tc>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事业单位经营收入</w:t>
            </w:r>
          </w:p>
        </w:tc>
        <w:tc>
          <w:tcPr>
            <w:tcW w:w="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其他收入</w:t>
            </w:r>
          </w:p>
        </w:tc>
        <w:tc>
          <w:tcPr>
            <w:tcW w:w="5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预算外收入</w:t>
            </w:r>
          </w:p>
        </w:tc>
        <w:tc>
          <w:tcPr>
            <w:tcW w:w="7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用事业基金弥补收支差额</w:t>
            </w:r>
          </w:p>
        </w:tc>
        <w:tc>
          <w:tcPr>
            <w:tcW w:w="7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单位上年结余（不包含国库集中支付额度结余）</w:t>
            </w:r>
          </w:p>
        </w:tc>
      </w:tr>
      <w:tr>
        <w:tblPrEx>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ind w:firstLine="201" w:firstLineChars="100"/>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类</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ind w:firstLine="201" w:firstLineChars="100"/>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款</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ind w:firstLine="201" w:firstLineChars="100"/>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项</w:t>
            </w:r>
          </w:p>
        </w:tc>
        <w:tc>
          <w:tcPr>
            <w:tcW w:w="18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4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42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6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7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r>
              <w:rPr>
                <w:rFonts w:ascii="??_GB2312" w:hAnsi="??_GB2312" w:eastAsia="Times New Roman" w:cs="??_GB2312"/>
                <w:b/>
                <w:bCs/>
                <w:color w:val="000000"/>
                <w:sz w:val="20"/>
                <w:szCs w:val="20"/>
              </w:rPr>
              <w:t>213</w:t>
            </w:r>
          </w:p>
        </w:tc>
        <w:tc>
          <w:tcPr>
            <w:tcW w:w="450"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r>
              <w:rPr>
                <w:rFonts w:ascii="??_GB2312" w:hAnsi="??_GB2312" w:eastAsia="Times New Roman" w:cs="??_GB2312"/>
                <w:b/>
                <w:bCs/>
                <w:color w:val="000000"/>
                <w:sz w:val="20"/>
                <w:szCs w:val="20"/>
              </w:rPr>
              <w:t>02</w:t>
            </w:r>
          </w:p>
        </w:tc>
        <w:tc>
          <w:tcPr>
            <w:tcW w:w="435"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r>
              <w:rPr>
                <w:rFonts w:ascii="??_GB2312" w:hAnsi="??_GB2312" w:eastAsia="Times New Roman" w:cs="??_GB2312"/>
                <w:b/>
                <w:bCs/>
                <w:color w:val="000000"/>
                <w:sz w:val="20"/>
                <w:szCs w:val="20"/>
              </w:rPr>
              <w:t>04</w:t>
            </w:r>
          </w:p>
        </w:tc>
        <w:tc>
          <w:tcPr>
            <w:tcW w:w="1875"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r>
              <w:rPr>
                <w:rFonts w:hint="eastAsia" w:ascii="宋体" w:hAnsi="宋体" w:cs="宋体"/>
                <w:b/>
                <w:bCs/>
                <w:color w:val="000000"/>
                <w:sz w:val="20"/>
                <w:szCs w:val="20"/>
              </w:rPr>
              <w:t>林业事业机构</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384.8</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5</w:t>
            </w:r>
          </w:p>
        </w:tc>
        <w:tc>
          <w:tcPr>
            <w:tcW w:w="565"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24.53</w:t>
            </w: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8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8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384.8</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355.27</w:t>
            </w:r>
          </w:p>
        </w:tc>
        <w:tc>
          <w:tcPr>
            <w:tcW w:w="42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2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r>
              <w:rPr>
                <w:rFonts w:ascii="宋体" w:hAnsi="宋体" w:cs="宋体"/>
                <w:color w:val="000000"/>
                <w:sz w:val="20"/>
                <w:szCs w:val="20"/>
              </w:rPr>
              <w:t>5</w:t>
            </w:r>
          </w:p>
        </w:tc>
        <w:tc>
          <w:tcPr>
            <w:tcW w:w="5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5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5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58"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716"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r>
              <w:rPr>
                <w:rFonts w:ascii="宋体" w:hAnsi="宋体" w:cs="宋体"/>
                <w:color w:val="000000"/>
                <w:sz w:val="20"/>
                <w:szCs w:val="20"/>
              </w:rPr>
              <w:t>24.53</w:t>
            </w: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表三：</w:t>
      </w:r>
    </w:p>
    <w:p>
      <w:pPr>
        <w:widowControl/>
        <w:jc w:val="center"/>
        <w:outlineLvl w:val="1"/>
        <w:rPr>
          <w:rFonts w:ascii="??_GB2312" w:hAnsi="宋体" w:eastAsia="Times New Roman"/>
          <w:b/>
          <w:kern w:val="0"/>
          <w:sz w:val="32"/>
          <w:szCs w:val="32"/>
        </w:rPr>
      </w:pPr>
      <w:r>
        <w:rPr>
          <w:rFonts w:ascii="??_GB2312" w:hAnsi="宋体" w:eastAsia="Times New Roman"/>
          <w:b/>
          <w:kern w:val="0"/>
          <w:sz w:val="32"/>
          <w:szCs w:val="32"/>
        </w:rPr>
        <w:t>部门支出总体情况表</w:t>
      </w:r>
    </w:p>
    <w:p>
      <w:pPr>
        <w:widowControl/>
        <w:jc w:val="left"/>
        <w:outlineLvl w:val="1"/>
        <w:rPr>
          <w:rFonts w:ascii="??_GB2312" w:hAnsi="宋体" w:eastAsia="Times New Roman"/>
          <w:kern w:val="0"/>
          <w:sz w:val="24"/>
        </w:rPr>
      </w:pPr>
      <w:r>
        <w:rPr>
          <w:rFonts w:ascii="??_GB2312" w:hAnsi="宋体" w:eastAsia="Times New Roman"/>
          <w:kern w:val="0"/>
          <w:sz w:val="24"/>
        </w:rPr>
        <w:t>编制部门：</w:t>
      </w:r>
      <w:r>
        <w:rPr>
          <w:rFonts w:hint="eastAsia" w:ascii="??_GB2312" w:hAnsi="宋体"/>
          <w:kern w:val="0"/>
          <w:sz w:val="18"/>
          <w:szCs w:val="18"/>
          <w:lang w:eastAsia="zh-CN"/>
        </w:rPr>
        <w:t>克孜勒苏柯尔克孜自治州林业工作管理站（林业技术推广站）</w:t>
      </w:r>
      <w:r>
        <w:rPr>
          <w:rFonts w:ascii="??_GB2312" w:hAnsi="宋体" w:eastAsia="Times New Roman"/>
          <w:kern w:val="0"/>
          <w:sz w:val="24"/>
        </w:rPr>
        <w:t xml:space="preserve">             单位：万元</w:t>
      </w:r>
    </w:p>
    <w:tbl>
      <w:tblPr>
        <w:tblStyle w:val="7"/>
        <w:tblW w:w="8950" w:type="dxa"/>
        <w:tblInd w:w="0" w:type="dxa"/>
        <w:tblLayout w:type="fixed"/>
        <w:tblCellMar>
          <w:top w:w="15" w:type="dxa"/>
          <w:left w:w="15" w:type="dxa"/>
          <w:bottom w:w="15" w:type="dxa"/>
          <w:right w:w="15" w:type="dxa"/>
        </w:tblCellMar>
      </w:tblPr>
      <w:tblGrid>
        <w:gridCol w:w="665"/>
        <w:gridCol w:w="812"/>
        <w:gridCol w:w="812"/>
        <w:gridCol w:w="2311"/>
        <w:gridCol w:w="1767"/>
        <w:gridCol w:w="1621"/>
        <w:gridCol w:w="962"/>
      </w:tblGrid>
      <w:tr>
        <w:tblPrEx>
          <w:tblCellMar>
            <w:top w:w="15" w:type="dxa"/>
            <w:left w:w="15" w:type="dxa"/>
            <w:bottom w:w="15" w:type="dxa"/>
            <w:right w:w="15" w:type="dxa"/>
          </w:tblCellMar>
        </w:tblPrEx>
        <w:trPr>
          <w:trHeight w:val="360" w:hRule="atLeast"/>
        </w:trPr>
        <w:tc>
          <w:tcPr>
            <w:tcW w:w="4600" w:type="dxa"/>
            <w:gridSpan w:val="4"/>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项</w:t>
            </w:r>
            <w:r>
              <w:rPr>
                <w:rFonts w:ascii="??_GB2312" w:hAnsi="??_GB2312" w:eastAsia="Times New Roman" w:cs="??_GB2312"/>
                <w:b/>
                <w:bCs/>
                <w:color w:val="000000"/>
                <w:kern w:val="0"/>
                <w:sz w:val="18"/>
                <w:szCs w:val="18"/>
              </w:rPr>
              <w:t xml:space="preserve">         </w:t>
            </w:r>
            <w:r>
              <w:rPr>
                <w:rFonts w:hint="eastAsia" w:ascii="宋体" w:hAnsi="宋体" w:cs="宋体"/>
                <w:b/>
                <w:bCs/>
                <w:color w:val="000000"/>
                <w:kern w:val="0"/>
                <w:sz w:val="18"/>
                <w:szCs w:val="18"/>
              </w:rPr>
              <w:t>目</w:t>
            </w:r>
          </w:p>
        </w:tc>
        <w:tc>
          <w:tcPr>
            <w:tcW w:w="435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支出预算</w:t>
            </w:r>
          </w:p>
        </w:tc>
      </w:tr>
      <w:tr>
        <w:tblPrEx>
          <w:tblCellMar>
            <w:top w:w="15" w:type="dxa"/>
            <w:left w:w="15" w:type="dxa"/>
            <w:bottom w:w="15" w:type="dxa"/>
            <w:right w:w="15" w:type="dxa"/>
          </w:tblCellMar>
        </w:tblPrEx>
        <w:trPr>
          <w:trHeight w:val="360" w:hRule="atLeast"/>
        </w:trPr>
        <w:tc>
          <w:tcPr>
            <w:tcW w:w="22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功能分类科目编码</w:t>
            </w:r>
          </w:p>
        </w:tc>
        <w:tc>
          <w:tcPr>
            <w:tcW w:w="23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功能分类科目名称</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合</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6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基本支出</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项目支出</w:t>
            </w:r>
          </w:p>
        </w:tc>
      </w:tr>
      <w:tr>
        <w:tblPrEx>
          <w:tblCellMar>
            <w:top w:w="15" w:type="dxa"/>
            <w:left w:w="15" w:type="dxa"/>
            <w:bottom w:w="15" w:type="dxa"/>
            <w:right w:w="15" w:type="dxa"/>
          </w:tblCellMar>
        </w:tblPrEx>
        <w:trPr>
          <w:trHeight w:val="360" w:hRule="atLeast"/>
        </w:trPr>
        <w:tc>
          <w:tcPr>
            <w:tcW w:w="6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类</w:t>
            </w:r>
          </w:p>
        </w:tc>
        <w:tc>
          <w:tcPr>
            <w:tcW w:w="8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款</w:t>
            </w:r>
          </w:p>
        </w:tc>
        <w:tc>
          <w:tcPr>
            <w:tcW w:w="8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项</w:t>
            </w:r>
          </w:p>
        </w:tc>
        <w:tc>
          <w:tcPr>
            <w:tcW w:w="2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16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343" w:hRule="atLeast"/>
        </w:trPr>
        <w:tc>
          <w:tcPr>
            <w:tcW w:w="6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8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8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23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16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hint="eastAsia" w:ascii="宋体" w:hAnsi="宋体" w:cs="宋体"/>
                <w:b/>
                <w:bCs/>
                <w:color w:val="000000"/>
                <w:sz w:val="20"/>
                <w:szCs w:val="20"/>
              </w:rPr>
              <w:t>合计</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384.8</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318.6</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ascii="??_GB2312" w:hAnsi="??_GB2312" w:eastAsia="Times New Roman" w:cs="??_GB2312"/>
                <w:b/>
                <w:bCs/>
                <w:color w:val="000000"/>
                <w:sz w:val="20"/>
                <w:szCs w:val="20"/>
              </w:rPr>
              <w:t>66.20</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213</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02</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04</w:t>
            </w: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_GB2312" w:hAnsi="??_GB2312" w:eastAsia="Times New Roman" w:cs="??_GB2312"/>
                <w:b/>
                <w:bCs/>
                <w:color w:val="000000"/>
                <w:sz w:val="20"/>
                <w:szCs w:val="20"/>
              </w:rPr>
            </w:pPr>
            <w:r>
              <w:rPr>
                <w:rFonts w:hint="eastAsia" w:ascii="宋体" w:hAnsi="宋体" w:cs="宋体"/>
                <w:color w:val="000000"/>
                <w:sz w:val="20"/>
                <w:szCs w:val="20"/>
              </w:rPr>
              <w:t>林业事业机构</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373.1</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318.6</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54.57</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213</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02</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99</w:t>
            </w: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其他林业和草原支出</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2.8</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2.8</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206</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04</w:t>
            </w: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04</w:t>
            </w: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hAnsi="宋体" w:cs="宋体"/>
                <w:color w:val="000000"/>
                <w:sz w:val="20"/>
                <w:szCs w:val="20"/>
              </w:rPr>
              <w:t>科技成果转化与扩散</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8.83</w:t>
            </w: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hAnsi="宋体" w:cs="宋体"/>
                <w:color w:val="000000"/>
                <w:sz w:val="20"/>
                <w:szCs w:val="20"/>
              </w:rPr>
              <w:t>8.83</w:t>
            </w: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trHeight w:val="600" w:hRule="atLeast"/>
        </w:trPr>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3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2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p>
    <w:p>
      <w:pPr>
        <w:widowControl/>
        <w:spacing w:beforeLines="50"/>
        <w:outlineLvl w:val="1"/>
        <w:rPr>
          <w:rFonts w:ascii="??_GB2312" w:hAnsi="宋体" w:eastAsia="Times New Roman"/>
          <w:b/>
          <w:kern w:val="0"/>
          <w:sz w:val="32"/>
          <w:szCs w:val="32"/>
        </w:rPr>
      </w:pPr>
      <w:r>
        <w:rPr>
          <w:rFonts w:ascii="??_GB2312" w:hAnsi="宋体" w:eastAsia="Times New Roman"/>
          <w:b/>
          <w:kern w:val="0"/>
          <w:sz w:val="32"/>
          <w:szCs w:val="32"/>
        </w:rPr>
        <w:t>表四：</w:t>
      </w:r>
    </w:p>
    <w:p>
      <w:pPr>
        <w:widowControl/>
        <w:spacing w:beforeLines="50"/>
        <w:ind w:firstLine="2561" w:firstLineChars="800"/>
        <w:outlineLvl w:val="1"/>
        <w:rPr>
          <w:rFonts w:ascii="??_GB2312" w:hAnsi="宋体" w:eastAsia="Times New Roman"/>
          <w:b/>
          <w:kern w:val="0"/>
          <w:sz w:val="32"/>
          <w:szCs w:val="32"/>
        </w:rPr>
      </w:pPr>
      <w:r>
        <w:rPr>
          <w:rFonts w:ascii="??_GB2312" w:hAnsi="宋体" w:eastAsia="Times New Roman"/>
          <w:b/>
          <w:kern w:val="0"/>
          <w:sz w:val="32"/>
          <w:szCs w:val="32"/>
        </w:rPr>
        <w:t>财政拨款收支预算总体情况表</w:t>
      </w:r>
    </w:p>
    <w:p>
      <w:pPr>
        <w:widowControl/>
        <w:jc w:val="left"/>
        <w:outlineLvl w:val="1"/>
        <w:rPr>
          <w:rFonts w:ascii="??_GB2312" w:hAnsi="宋体" w:eastAsia="Times New Roman"/>
          <w:kern w:val="0"/>
          <w:sz w:val="24"/>
        </w:rPr>
      </w:pPr>
      <w:r>
        <w:rPr>
          <w:rFonts w:ascii="??_GB2312" w:hAnsi="宋体" w:eastAsia="Times New Roman"/>
          <w:kern w:val="0"/>
          <w:sz w:val="24"/>
        </w:rPr>
        <w:t>编制部门：</w:t>
      </w:r>
      <w:r>
        <w:rPr>
          <w:rFonts w:hint="eastAsia" w:ascii="??_GB2312" w:hAnsi="宋体" w:eastAsia="Times New Roman"/>
          <w:kern w:val="0"/>
          <w:sz w:val="24"/>
          <w:lang w:eastAsia="zh-CN"/>
        </w:rPr>
        <w:t>克孜勒苏柯尔克孜自治州林业工作管理站（林业技术推广站）</w:t>
      </w:r>
      <w:r>
        <w:rPr>
          <w:rFonts w:ascii="??_GB2312" w:hAnsi="宋体" w:eastAsia="Times New Roman"/>
          <w:kern w:val="0"/>
          <w:sz w:val="24"/>
        </w:rPr>
        <w:t>单位：万元</w:t>
      </w:r>
    </w:p>
    <w:tbl>
      <w:tblPr>
        <w:tblStyle w:val="7"/>
        <w:tblW w:w="9301" w:type="dxa"/>
        <w:tblInd w:w="0" w:type="dxa"/>
        <w:tblLayout w:type="fixed"/>
        <w:tblCellMar>
          <w:top w:w="15" w:type="dxa"/>
          <w:left w:w="15" w:type="dxa"/>
          <w:bottom w:w="15" w:type="dxa"/>
          <w:right w:w="15" w:type="dxa"/>
        </w:tblCellMar>
      </w:tblPr>
      <w:tblGrid>
        <w:gridCol w:w="2341"/>
        <w:gridCol w:w="1332"/>
        <w:gridCol w:w="2721"/>
        <w:gridCol w:w="732"/>
        <w:gridCol w:w="1185"/>
        <w:gridCol w:w="990"/>
      </w:tblGrid>
      <w:tr>
        <w:tblPrEx>
          <w:tblCellMar>
            <w:top w:w="15" w:type="dxa"/>
            <w:left w:w="15" w:type="dxa"/>
            <w:bottom w:w="15" w:type="dxa"/>
            <w:right w:w="15" w:type="dxa"/>
          </w:tblCellMar>
        </w:tblPrEx>
        <w:trPr>
          <w:trHeight w:val="240" w:hRule="atLeast"/>
        </w:trPr>
        <w:tc>
          <w:tcPr>
            <w:tcW w:w="36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财政拨款收入</w:t>
            </w:r>
          </w:p>
        </w:tc>
        <w:tc>
          <w:tcPr>
            <w:tcW w:w="562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财政拨款支出</w:t>
            </w: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right w:val="single" w:color="000000" w:sz="4" w:space="0"/>
            </w:tcBorders>
            <w:vAlign w:val="center"/>
          </w:tcPr>
          <w:p>
            <w:pPr>
              <w:widowControl/>
              <w:ind w:left="1400" w:leftChars="380" w:hanging="602" w:hangingChars="300"/>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项</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目</w:t>
            </w:r>
            <w:r>
              <w:rPr>
                <w:rFonts w:ascii="??_GB2312" w:hAnsi="??_GB2312" w:eastAsia="Times New Roman" w:cs="??_GB2312"/>
                <w:b/>
                <w:bCs/>
                <w:color w:val="000000"/>
                <w:kern w:val="0"/>
                <w:sz w:val="20"/>
                <w:szCs w:val="20"/>
              </w:rPr>
              <w:t xml:space="preserve">                   </w:t>
            </w:r>
          </w:p>
        </w:tc>
        <w:tc>
          <w:tcPr>
            <w:tcW w:w="1332" w:type="dxa"/>
            <w:tcBorders>
              <w:top w:val="single" w:color="000000" w:sz="4" w:space="0"/>
              <w:left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合计</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功</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能</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分</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类</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合计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一般公共预算</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政府性基金预算</w:t>
            </w: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widowControl/>
              <w:ind w:firstLine="402" w:firstLineChars="200"/>
              <w:jc w:val="left"/>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财政拨款（补助）</w:t>
            </w: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201 </w:t>
            </w:r>
            <w:r>
              <w:rPr>
                <w:rFonts w:hint="eastAsia" w:ascii="宋体" w:hAnsi="宋体" w:cs="宋体"/>
                <w:b/>
                <w:bCs/>
                <w:color w:val="000000"/>
                <w:kern w:val="0"/>
                <w:sz w:val="20"/>
                <w:szCs w:val="20"/>
              </w:rPr>
              <w:t>一般公共服务支出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一般公共预算</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202 </w:t>
            </w:r>
            <w:r>
              <w:rPr>
                <w:rFonts w:hint="eastAsia" w:ascii="宋体" w:hAnsi="宋体" w:cs="宋体"/>
                <w:b/>
                <w:bCs/>
                <w:color w:val="000000"/>
                <w:kern w:val="0"/>
                <w:sz w:val="20"/>
                <w:szCs w:val="20"/>
              </w:rPr>
              <w:t>外交支出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政府性基金预算</w:t>
            </w:r>
          </w:p>
        </w:tc>
        <w:tc>
          <w:tcPr>
            <w:tcW w:w="1332"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203 </w:t>
            </w:r>
            <w:r>
              <w:rPr>
                <w:rFonts w:hint="eastAsia" w:ascii="宋体" w:hAnsi="宋体" w:cs="宋体"/>
                <w:b/>
                <w:bCs/>
                <w:color w:val="000000"/>
                <w:kern w:val="0"/>
                <w:sz w:val="20"/>
                <w:szCs w:val="20"/>
              </w:rPr>
              <w:t>国防支出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204 </w:t>
            </w:r>
            <w:r>
              <w:rPr>
                <w:rFonts w:hint="eastAsia" w:ascii="宋体" w:hAnsi="宋体" w:cs="宋体"/>
                <w:b/>
                <w:bCs/>
                <w:color w:val="000000"/>
                <w:kern w:val="0"/>
                <w:sz w:val="20"/>
                <w:szCs w:val="20"/>
              </w:rPr>
              <w:t>公共安全支出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205 </w:t>
            </w:r>
            <w:r>
              <w:rPr>
                <w:rFonts w:hint="eastAsia" w:ascii="宋体" w:hAnsi="宋体" w:cs="宋体"/>
                <w:b/>
                <w:bCs/>
                <w:color w:val="000000"/>
                <w:kern w:val="0"/>
                <w:sz w:val="20"/>
                <w:szCs w:val="20"/>
              </w:rPr>
              <w:t>教育支出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206 </w:t>
            </w:r>
            <w:r>
              <w:rPr>
                <w:rFonts w:hint="eastAsia" w:ascii="宋体" w:hAnsi="宋体" w:cs="宋体"/>
                <w:b/>
                <w:bCs/>
                <w:color w:val="000000"/>
                <w:kern w:val="0"/>
                <w:sz w:val="20"/>
                <w:szCs w:val="20"/>
              </w:rPr>
              <w:t>科学技术支出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207 </w:t>
            </w:r>
            <w:r>
              <w:rPr>
                <w:rFonts w:hint="eastAsia" w:ascii="宋体" w:hAnsi="宋体" w:cs="宋体"/>
                <w:b/>
                <w:bCs/>
                <w:color w:val="000000"/>
                <w:kern w:val="0"/>
                <w:sz w:val="20"/>
                <w:szCs w:val="20"/>
              </w:rPr>
              <w:t>文化体育与传媒支出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208 </w:t>
            </w:r>
            <w:r>
              <w:rPr>
                <w:rFonts w:hint="eastAsia" w:ascii="宋体" w:hAnsi="宋体" w:cs="宋体"/>
                <w:b/>
                <w:bCs/>
                <w:color w:val="000000"/>
                <w:kern w:val="0"/>
                <w:sz w:val="20"/>
                <w:szCs w:val="20"/>
              </w:rPr>
              <w:t>社会保障和就业支出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209 </w:t>
            </w:r>
            <w:r>
              <w:rPr>
                <w:rFonts w:hint="eastAsia" w:ascii="宋体" w:hAnsi="宋体" w:cs="宋体"/>
                <w:b/>
                <w:bCs/>
                <w:color w:val="000000"/>
                <w:kern w:val="0"/>
                <w:sz w:val="20"/>
                <w:szCs w:val="20"/>
              </w:rPr>
              <w:t>社会保险基金支出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210 </w:t>
            </w:r>
            <w:r>
              <w:rPr>
                <w:rFonts w:hint="eastAsia" w:ascii="宋体" w:hAnsi="宋体" w:cs="宋体"/>
                <w:b/>
                <w:bCs/>
                <w:color w:val="000000"/>
                <w:kern w:val="0"/>
                <w:sz w:val="20"/>
                <w:szCs w:val="20"/>
              </w:rPr>
              <w:t>医疗卫生与计划生育支出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rPr>
                <w:rFonts w:ascii="??_GB2312" w:hAnsi="??_GB2312" w:eastAsia="Times New Roman" w:cs="??_GB2312"/>
                <w:b/>
                <w:bCs/>
                <w:color w:val="000000"/>
                <w:sz w:val="18"/>
                <w:szCs w:val="18"/>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211 </w:t>
            </w:r>
            <w:r>
              <w:rPr>
                <w:rFonts w:hint="eastAsia" w:ascii="宋体" w:hAnsi="宋体" w:cs="宋体"/>
                <w:b/>
                <w:bCs/>
                <w:color w:val="000000"/>
                <w:kern w:val="0"/>
                <w:sz w:val="20"/>
                <w:szCs w:val="20"/>
              </w:rPr>
              <w:t>节能环保支出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212 </w:t>
            </w:r>
            <w:r>
              <w:rPr>
                <w:rFonts w:hint="eastAsia" w:ascii="宋体" w:hAnsi="宋体" w:cs="宋体"/>
                <w:b/>
                <w:bCs/>
                <w:color w:val="000000"/>
                <w:kern w:val="0"/>
                <w:sz w:val="20"/>
                <w:szCs w:val="20"/>
              </w:rPr>
              <w:t>城乡社区支出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213 </w:t>
            </w:r>
            <w:r>
              <w:rPr>
                <w:rFonts w:hint="eastAsia" w:ascii="宋体" w:hAnsi="宋体" w:cs="宋体"/>
                <w:b/>
                <w:bCs/>
                <w:color w:val="000000"/>
                <w:kern w:val="0"/>
                <w:sz w:val="20"/>
                <w:szCs w:val="20"/>
              </w:rPr>
              <w:t>农林水支出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214 </w:t>
            </w:r>
            <w:r>
              <w:rPr>
                <w:rFonts w:hint="eastAsia" w:ascii="宋体" w:hAnsi="宋体" w:cs="宋体"/>
                <w:b/>
                <w:bCs/>
                <w:color w:val="000000"/>
                <w:kern w:val="0"/>
                <w:sz w:val="20"/>
                <w:szCs w:val="20"/>
              </w:rPr>
              <w:t>交通运输支出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215 </w:t>
            </w:r>
            <w:r>
              <w:rPr>
                <w:rFonts w:hint="eastAsia" w:ascii="宋体" w:hAnsi="宋体" w:cs="宋体"/>
                <w:b/>
                <w:bCs/>
                <w:color w:val="000000"/>
                <w:kern w:val="0"/>
                <w:sz w:val="20"/>
                <w:szCs w:val="20"/>
              </w:rPr>
              <w:t>资源勘探信息等支出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216 </w:t>
            </w:r>
            <w:r>
              <w:rPr>
                <w:rFonts w:hint="eastAsia" w:ascii="宋体" w:hAnsi="宋体" w:cs="宋体"/>
                <w:b/>
                <w:bCs/>
                <w:color w:val="000000"/>
                <w:kern w:val="0"/>
                <w:sz w:val="20"/>
                <w:szCs w:val="20"/>
              </w:rPr>
              <w:t>商业服务业等支出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217 </w:t>
            </w:r>
            <w:r>
              <w:rPr>
                <w:rFonts w:hint="eastAsia" w:ascii="宋体" w:hAnsi="宋体" w:cs="宋体"/>
                <w:b/>
                <w:bCs/>
                <w:color w:val="000000"/>
                <w:kern w:val="0"/>
                <w:sz w:val="20"/>
                <w:szCs w:val="20"/>
              </w:rPr>
              <w:t>金融支出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219 </w:t>
            </w:r>
            <w:r>
              <w:rPr>
                <w:rFonts w:hint="eastAsia" w:ascii="宋体" w:hAnsi="宋体" w:cs="宋体"/>
                <w:b/>
                <w:bCs/>
                <w:color w:val="000000"/>
                <w:kern w:val="0"/>
                <w:sz w:val="20"/>
                <w:szCs w:val="20"/>
              </w:rPr>
              <w:t>援助其他地区支出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220 </w:t>
            </w:r>
            <w:r>
              <w:rPr>
                <w:rFonts w:hint="eastAsia" w:ascii="宋体" w:hAnsi="宋体" w:cs="宋体"/>
                <w:b/>
                <w:bCs/>
                <w:color w:val="000000"/>
                <w:kern w:val="0"/>
                <w:sz w:val="20"/>
                <w:szCs w:val="20"/>
              </w:rPr>
              <w:t>国土资源气象等支出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221 </w:t>
            </w:r>
            <w:r>
              <w:rPr>
                <w:rFonts w:hint="eastAsia" w:ascii="宋体" w:hAnsi="宋体" w:cs="宋体"/>
                <w:b/>
                <w:bCs/>
                <w:color w:val="000000"/>
                <w:kern w:val="0"/>
                <w:sz w:val="20"/>
                <w:szCs w:val="20"/>
              </w:rPr>
              <w:t>住房保障支出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222 </w:t>
            </w:r>
            <w:r>
              <w:rPr>
                <w:rFonts w:hint="eastAsia" w:ascii="宋体" w:hAnsi="宋体" w:cs="宋体"/>
                <w:b/>
                <w:bCs/>
                <w:color w:val="000000"/>
                <w:kern w:val="0"/>
                <w:sz w:val="20"/>
                <w:szCs w:val="20"/>
              </w:rPr>
              <w:t>粮油物资管理支出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223 </w:t>
            </w:r>
            <w:r>
              <w:rPr>
                <w:rFonts w:hint="eastAsia" w:ascii="宋体" w:hAnsi="宋体" w:cs="宋体"/>
                <w:b/>
                <w:bCs/>
                <w:color w:val="000000"/>
                <w:kern w:val="0"/>
                <w:sz w:val="20"/>
                <w:szCs w:val="20"/>
              </w:rPr>
              <w:t>国有资本经营预算支出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227 </w:t>
            </w:r>
            <w:r>
              <w:rPr>
                <w:rFonts w:hint="eastAsia" w:ascii="宋体" w:hAnsi="宋体" w:cs="宋体"/>
                <w:b/>
                <w:bCs/>
                <w:color w:val="000000"/>
                <w:kern w:val="0"/>
                <w:sz w:val="20"/>
                <w:szCs w:val="20"/>
              </w:rPr>
              <w:t>预备费</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229 </w:t>
            </w:r>
            <w:r>
              <w:rPr>
                <w:rFonts w:hint="eastAsia" w:ascii="宋体" w:hAnsi="宋体" w:cs="宋体"/>
                <w:b/>
                <w:bCs/>
                <w:color w:val="000000"/>
                <w:kern w:val="0"/>
                <w:sz w:val="20"/>
                <w:szCs w:val="20"/>
              </w:rPr>
              <w:t>其他支出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ascii="??_GB2312" w:hAnsi="??_GB2312" w:eastAsia="Times New Roman" w:cs="??_GB2312"/>
                <w:b/>
                <w:bCs/>
                <w:color w:val="000000"/>
                <w:kern w:val="0"/>
                <w:sz w:val="18"/>
                <w:szCs w:val="18"/>
              </w:rPr>
              <w:t xml:space="preserve">231 </w:t>
            </w:r>
            <w:r>
              <w:rPr>
                <w:rFonts w:hint="eastAsia" w:ascii="宋体" w:hAnsi="宋体" w:cs="宋体"/>
                <w:b/>
                <w:bCs/>
                <w:color w:val="000000"/>
                <w:kern w:val="0"/>
                <w:sz w:val="18"/>
                <w:szCs w:val="18"/>
              </w:rPr>
              <w:t>债务还本支出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232 </w:t>
            </w:r>
            <w:r>
              <w:rPr>
                <w:rFonts w:hint="eastAsia" w:ascii="宋体" w:hAnsi="宋体" w:cs="宋体"/>
                <w:b/>
                <w:bCs/>
                <w:color w:val="000000"/>
                <w:kern w:val="0"/>
                <w:sz w:val="20"/>
                <w:szCs w:val="20"/>
              </w:rPr>
              <w:t>债务付息支出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rPr>
                <w:rFonts w:ascii="??_GB2312" w:hAnsi="??_GB2312" w:eastAsia="Times New Roman" w:cs="??_GB2312"/>
                <w:b/>
                <w:bCs/>
                <w:color w:val="000000"/>
                <w:sz w:val="20"/>
                <w:szCs w:val="20"/>
              </w:rPr>
            </w:pPr>
          </w:p>
        </w:tc>
        <w:tc>
          <w:tcPr>
            <w:tcW w:w="1332" w:type="dxa"/>
            <w:tcBorders>
              <w:top w:val="single" w:color="000000" w:sz="4" w:space="0"/>
              <w:left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233 </w:t>
            </w:r>
            <w:r>
              <w:rPr>
                <w:rFonts w:hint="eastAsia" w:ascii="宋体" w:hAnsi="宋体" w:cs="宋体"/>
                <w:b/>
                <w:bCs/>
                <w:color w:val="000000"/>
                <w:kern w:val="0"/>
                <w:sz w:val="20"/>
                <w:szCs w:val="20"/>
              </w:rPr>
              <w:t>债务发行费支出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本</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年</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收</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入</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小</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本</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年</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支</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出</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小</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r>
              <w:rPr>
                <w:rFonts w:ascii="??_GB2312" w:hAnsi="??_GB2312" w:eastAsia="Times New Roman" w:cs="??_GB2312"/>
                <w:b/>
                <w:bCs/>
                <w:color w:val="000000"/>
                <w:sz w:val="20"/>
                <w:szCs w:val="20"/>
              </w:rPr>
              <w:t>355.27</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355.27</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_GB2312" w:hAnsi="??_GB2312" w:eastAsia="Times New Roman" w:cs="??_GB2312"/>
                <w:b/>
                <w:bCs/>
                <w:color w:val="000000"/>
                <w:sz w:val="18"/>
                <w:szCs w:val="18"/>
              </w:rPr>
            </w:pPr>
            <w:r>
              <w:rPr>
                <w:rFonts w:hint="eastAsia" w:ascii="宋体" w:hAnsi="宋体" w:cs="宋体"/>
                <w:b/>
                <w:bCs/>
                <w:color w:val="000000"/>
                <w:kern w:val="0"/>
                <w:sz w:val="18"/>
                <w:szCs w:val="18"/>
              </w:rPr>
              <w:t>单位上年结余（不包含国库集中支付额度结余）</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ind w:firstLine="600" w:firstLineChars="300"/>
              <w:jc w:val="left"/>
              <w:textAlignment w:val="center"/>
              <w:rPr>
                <w:rFonts w:ascii="??_GB2312" w:hAnsi="??_GB2312" w:eastAsia="Times New Roman" w:cs="??_GB2312"/>
                <w:b/>
                <w:bCs/>
                <w:color w:val="000000"/>
                <w:sz w:val="20"/>
                <w:szCs w:val="20"/>
              </w:rPr>
            </w:pPr>
            <w:r>
              <w:rPr>
                <w:rFonts w:ascii="??_GB2312" w:hAnsi="??_GB2312" w:eastAsia="Times New Roman" w:cs="??_GB2312"/>
                <w:b/>
                <w:bCs/>
                <w:color w:val="000000"/>
                <w:kern w:val="0"/>
                <w:sz w:val="20"/>
                <w:szCs w:val="20"/>
              </w:rPr>
              <w:t xml:space="preserve">230 </w:t>
            </w:r>
            <w:r>
              <w:rPr>
                <w:rFonts w:hint="eastAsia" w:ascii="宋体" w:hAnsi="宋体" w:cs="宋体"/>
                <w:b/>
                <w:bCs/>
                <w:color w:val="000000"/>
                <w:kern w:val="0"/>
                <w:sz w:val="20"/>
                <w:szCs w:val="20"/>
              </w:rPr>
              <w:t>转移性支出</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20"/>
                <w:szCs w:val="20"/>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r>
        <w:tblPrEx>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收</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入</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总</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13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355.27</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_GB2312" w:hAnsi="??_GB2312" w:eastAsia="Times New Roman" w:cs="??_GB2312"/>
                <w:b/>
                <w:bCs/>
                <w:color w:val="000000"/>
                <w:sz w:val="20"/>
                <w:szCs w:val="20"/>
              </w:rPr>
            </w:pPr>
            <w:r>
              <w:rPr>
                <w:rFonts w:hint="eastAsia" w:ascii="宋体" w:hAnsi="宋体" w:cs="宋体"/>
                <w:b/>
                <w:bCs/>
                <w:color w:val="000000"/>
                <w:kern w:val="0"/>
                <w:sz w:val="20"/>
                <w:szCs w:val="20"/>
              </w:rPr>
              <w:t>支</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出</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总</w:t>
            </w:r>
            <w:r>
              <w:rPr>
                <w:rFonts w:ascii="??_GB2312" w:hAnsi="??_GB2312" w:eastAsia="Times New Roman" w:cs="??_GB2312"/>
                <w:b/>
                <w:bCs/>
                <w:color w:val="000000"/>
                <w:kern w:val="0"/>
                <w:sz w:val="20"/>
                <w:szCs w:val="20"/>
              </w:rPr>
              <w:t xml:space="preserve">   </w:t>
            </w:r>
            <w:r>
              <w:rPr>
                <w:rFonts w:hint="eastAsia" w:ascii="宋体" w:hAnsi="宋体" w:cs="宋体"/>
                <w:b/>
                <w:bCs/>
                <w:color w:val="000000"/>
                <w:kern w:val="0"/>
                <w:sz w:val="20"/>
                <w:szCs w:val="20"/>
              </w:rPr>
              <w:t>计</w:t>
            </w:r>
          </w:p>
        </w:tc>
        <w:tc>
          <w:tcPr>
            <w:tcW w:w="732"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355.27</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b/>
                <w:bCs/>
                <w:color w:val="000000"/>
                <w:sz w:val="18"/>
                <w:szCs w:val="18"/>
              </w:rPr>
            </w:pPr>
            <w:r>
              <w:rPr>
                <w:rFonts w:ascii="??_GB2312" w:hAnsi="??_GB2312" w:eastAsia="Times New Roman" w:cs="??_GB2312"/>
                <w:b/>
                <w:bCs/>
                <w:color w:val="000000"/>
                <w:sz w:val="18"/>
                <w:szCs w:val="18"/>
              </w:rPr>
              <w:t>355.27</w:t>
            </w:r>
          </w:p>
        </w:tc>
        <w:tc>
          <w:tcPr>
            <w:tcW w:w="990" w:type="dxa"/>
            <w:tcBorders>
              <w:top w:val="single" w:color="000000" w:sz="4" w:space="0"/>
              <w:left w:val="single" w:color="000000" w:sz="4" w:space="0"/>
              <w:bottom w:val="single" w:color="000000" w:sz="4" w:space="0"/>
              <w:right w:val="single" w:color="000000" w:sz="4" w:space="0"/>
            </w:tcBorders>
            <w:vAlign w:val="center"/>
          </w:tcPr>
          <w:p>
            <w:pPr>
              <w:jc w:val="right"/>
              <w:rPr>
                <w:rFonts w:ascii="??_GB2312" w:hAnsi="??_GB2312" w:eastAsia="Times New Roman" w:cs="??_GB2312"/>
                <w:color w:val="000000"/>
                <w:sz w:val="20"/>
                <w:szCs w:val="20"/>
              </w:rPr>
            </w:pP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表五：</w:t>
      </w:r>
    </w:p>
    <w:tbl>
      <w:tblPr>
        <w:tblStyle w:val="7"/>
        <w:tblW w:w="9087" w:type="dxa"/>
        <w:tblInd w:w="93" w:type="dxa"/>
        <w:tblLayout w:type="fixed"/>
        <w:tblCellMar>
          <w:top w:w="0" w:type="dxa"/>
          <w:left w:w="108" w:type="dxa"/>
          <w:bottom w:w="0" w:type="dxa"/>
          <w:right w:w="108" w:type="dxa"/>
        </w:tblCellMar>
      </w:tblPr>
      <w:tblGrid>
        <w:gridCol w:w="441"/>
        <w:gridCol w:w="492"/>
        <w:gridCol w:w="417"/>
        <w:gridCol w:w="2510"/>
        <w:gridCol w:w="1684"/>
        <w:gridCol w:w="1842"/>
        <w:gridCol w:w="1701"/>
      </w:tblGrid>
      <w:tr>
        <w:tblPrEx>
          <w:tblCellMar>
            <w:top w:w="0" w:type="dxa"/>
            <w:left w:w="108" w:type="dxa"/>
            <w:bottom w:w="0" w:type="dxa"/>
            <w:right w:w="108" w:type="dxa"/>
          </w:tblCellMar>
        </w:tblPrEx>
        <w:trPr>
          <w:trHeight w:val="450" w:hRule="atLeast"/>
        </w:trPr>
        <w:tc>
          <w:tcPr>
            <w:tcW w:w="9087" w:type="dxa"/>
            <w:gridSpan w:val="7"/>
            <w:tcBorders>
              <w:top w:val="nil"/>
              <w:left w:val="nil"/>
              <w:bottom w:val="nil"/>
              <w:right w:val="nil"/>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9087" w:type="dxa"/>
            <w:gridSpan w:val="7"/>
            <w:tcBorders>
              <w:top w:val="nil"/>
              <w:left w:val="nil"/>
              <w:bottom w:val="nil"/>
              <w:right w:val="nil"/>
            </w:tcBorders>
            <w:vAlign w:val="center"/>
          </w:tcPr>
          <w:p>
            <w:pPr>
              <w:widowControl/>
              <w:jc w:val="left"/>
              <w:rPr>
                <w:rFonts w:ascii="??_GB2312" w:hAnsi="宋体" w:eastAsia="Times New Roman" w:cs="宋体"/>
                <w:color w:val="000000"/>
                <w:kern w:val="0"/>
                <w:sz w:val="24"/>
              </w:rPr>
            </w:pPr>
            <w:r>
              <w:rPr>
                <w:rFonts w:ascii="??_GB2312" w:hAnsi="宋体" w:eastAsia="Times New Roman" w:cs="宋体"/>
                <w:color w:val="000000"/>
                <w:kern w:val="0"/>
                <w:sz w:val="24"/>
              </w:rPr>
              <w:t>编制部门：</w:t>
            </w:r>
            <w:r>
              <w:rPr>
                <w:rFonts w:hint="eastAsia" w:ascii="??_GB2312" w:hAnsi="宋体" w:cs="宋体"/>
                <w:color w:val="000000"/>
                <w:kern w:val="0"/>
                <w:sz w:val="18"/>
                <w:szCs w:val="18"/>
                <w:lang w:eastAsia="zh-CN"/>
              </w:rPr>
              <w:t>克孜勒苏柯尔克孜自治州林业工作管理站（林业技术推广站）</w:t>
            </w:r>
            <w:r>
              <w:rPr>
                <w:rFonts w:hint="eastAsia" w:ascii="??_GB2312" w:hAnsi="宋体" w:cs="宋体"/>
                <w:color w:val="000000"/>
                <w:kern w:val="0"/>
                <w:sz w:val="18"/>
                <w:szCs w:val="18"/>
                <w:lang w:val="en-US" w:eastAsia="zh-CN"/>
              </w:rPr>
              <w:t xml:space="preserve">                </w:t>
            </w:r>
            <w:r>
              <w:rPr>
                <w:rFonts w:ascii="??_GB2312" w:hAnsi="宋体" w:eastAsia="Times New Roman" w:cs="宋体"/>
                <w:color w:val="000000"/>
                <w:kern w:val="0"/>
                <w:sz w:val="24"/>
              </w:rPr>
              <w:t>单位：万元</w:t>
            </w:r>
          </w:p>
        </w:tc>
      </w:tr>
      <w:tr>
        <w:tblPrEx>
          <w:tblCellMar>
            <w:top w:w="0" w:type="dxa"/>
            <w:left w:w="108" w:type="dxa"/>
            <w:bottom w:w="0" w:type="dxa"/>
            <w:right w:w="108" w:type="dxa"/>
          </w:tblCellMar>
        </w:tblPrEx>
        <w:trPr>
          <w:trHeight w:val="405" w:hRule="atLeast"/>
        </w:trPr>
        <w:tc>
          <w:tcPr>
            <w:tcW w:w="386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项目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350"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小计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213</w:t>
            </w:r>
          </w:p>
        </w:tc>
        <w:tc>
          <w:tcPr>
            <w:tcW w:w="492"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02</w:t>
            </w:r>
          </w:p>
        </w:tc>
        <w:tc>
          <w:tcPr>
            <w:tcW w:w="41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04</w:t>
            </w:r>
          </w:p>
        </w:tc>
        <w:tc>
          <w:tcPr>
            <w:tcW w:w="2510"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林业事业机构</w:t>
            </w:r>
          </w:p>
        </w:tc>
        <w:tc>
          <w:tcPr>
            <w:tcW w:w="1684"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　355.27</w:t>
            </w:r>
          </w:p>
        </w:tc>
        <w:tc>
          <w:tcPr>
            <w:tcW w:w="1842"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　310.35</w:t>
            </w:r>
          </w:p>
        </w:tc>
        <w:tc>
          <w:tcPr>
            <w:tcW w:w="1701"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b/>
                <w:color w:val="000000"/>
                <w:kern w:val="0"/>
                <w:sz w:val="20"/>
                <w:szCs w:val="20"/>
              </w:rPr>
            </w:pPr>
            <w:r>
              <w:rPr>
                <w:rFonts w:ascii="??_GB2312" w:hAnsi="宋体" w:eastAsia="Times New Roman" w:cs="宋体"/>
                <w:b/>
                <w:color w:val="000000"/>
                <w:kern w:val="0"/>
                <w:sz w:val="20"/>
                <w:szCs w:val="20"/>
              </w:rPr>
              <w:t>　44.92</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44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355.27</w:t>
            </w:r>
          </w:p>
        </w:tc>
        <w:tc>
          <w:tcPr>
            <w:tcW w:w="18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310.35</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44.92</w:t>
            </w: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表六：</w:t>
      </w:r>
    </w:p>
    <w:tbl>
      <w:tblPr>
        <w:tblStyle w:val="7"/>
        <w:tblW w:w="9087" w:type="dxa"/>
        <w:tblInd w:w="93" w:type="dxa"/>
        <w:tblLayout w:type="fixed"/>
        <w:tblCellMar>
          <w:top w:w="0" w:type="dxa"/>
          <w:left w:w="108" w:type="dxa"/>
          <w:bottom w:w="0" w:type="dxa"/>
          <w:right w:w="108" w:type="dxa"/>
        </w:tblCellMar>
      </w:tblPr>
      <w:tblGrid>
        <w:gridCol w:w="516"/>
        <w:gridCol w:w="633"/>
        <w:gridCol w:w="142"/>
        <w:gridCol w:w="2693"/>
        <w:gridCol w:w="1701"/>
        <w:gridCol w:w="1701"/>
        <w:gridCol w:w="1701"/>
      </w:tblGrid>
      <w:tr>
        <w:tblPrEx>
          <w:tblCellMar>
            <w:top w:w="0" w:type="dxa"/>
            <w:left w:w="108" w:type="dxa"/>
            <w:bottom w:w="0" w:type="dxa"/>
            <w:right w:w="108" w:type="dxa"/>
          </w:tblCellMar>
        </w:tblPrEx>
        <w:trPr>
          <w:trHeight w:val="375" w:hRule="atLeast"/>
        </w:trPr>
        <w:tc>
          <w:tcPr>
            <w:tcW w:w="9087" w:type="dxa"/>
            <w:gridSpan w:val="7"/>
            <w:tcBorders>
              <w:top w:val="nil"/>
              <w:left w:val="nil"/>
              <w:bottom w:val="nil"/>
              <w:right w:val="nil"/>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9087" w:type="dxa"/>
            <w:gridSpan w:val="7"/>
            <w:tcBorders>
              <w:top w:val="nil"/>
              <w:left w:val="nil"/>
              <w:bottom w:val="nil"/>
              <w:right w:val="nil"/>
            </w:tcBorders>
            <w:vAlign w:val="center"/>
          </w:tcPr>
          <w:p>
            <w:pPr>
              <w:widowControl/>
              <w:jc w:val="left"/>
              <w:rPr>
                <w:rFonts w:ascii="??_GB2312" w:hAnsi="宋体" w:eastAsia="Times New Roman" w:cs="宋体"/>
                <w:color w:val="000000"/>
                <w:kern w:val="0"/>
                <w:sz w:val="24"/>
              </w:rPr>
            </w:pPr>
            <w:r>
              <w:rPr>
                <w:rFonts w:ascii="??_GB2312" w:hAnsi="宋体" w:eastAsia="Times New Roman" w:cs="宋体"/>
                <w:color w:val="000000"/>
                <w:kern w:val="0"/>
                <w:sz w:val="24"/>
              </w:rPr>
              <w:t>编制部门：</w:t>
            </w:r>
            <w:r>
              <w:rPr>
                <w:rFonts w:hint="eastAsia" w:ascii="??_GB2312" w:hAnsi="宋体" w:eastAsia="Times New Roman" w:cs="宋体"/>
                <w:color w:val="000000"/>
                <w:kern w:val="0"/>
                <w:sz w:val="21"/>
                <w:szCs w:val="21"/>
                <w:lang w:eastAsia="zh-CN"/>
              </w:rPr>
              <w:t>克孜勒苏柯尔克孜自治州林业工作管理站（林业技术推广站）</w:t>
            </w:r>
            <w:r>
              <w:rPr>
                <w:rFonts w:ascii="??_GB2312" w:hAnsi="宋体" w:eastAsia="Times New Roman" w:cs="宋体"/>
                <w:color w:val="000000"/>
                <w:kern w:val="0"/>
                <w:sz w:val="21"/>
                <w:szCs w:val="21"/>
              </w:rPr>
              <w:t xml:space="preserve"> </w:t>
            </w:r>
            <w:r>
              <w:rPr>
                <w:rFonts w:hint="eastAsia" w:ascii="??_GB2312" w:hAnsi="宋体" w:cs="宋体"/>
                <w:color w:val="000000"/>
                <w:kern w:val="0"/>
                <w:sz w:val="21"/>
                <w:szCs w:val="21"/>
                <w:lang w:val="en-US" w:eastAsia="zh-CN"/>
              </w:rPr>
              <w:t xml:space="preserve">      </w:t>
            </w:r>
            <w:r>
              <w:rPr>
                <w:rFonts w:ascii="??_GB2312" w:hAnsi="宋体" w:eastAsia="Times New Roman" w:cs="宋体"/>
                <w:color w:val="000000"/>
                <w:kern w:val="0"/>
                <w:sz w:val="24"/>
              </w:rPr>
              <w:t>单位：万元</w:t>
            </w:r>
          </w:p>
        </w:tc>
      </w:tr>
      <w:tr>
        <w:tblPrEx>
          <w:tblCellMar>
            <w:top w:w="0" w:type="dxa"/>
            <w:left w:w="108" w:type="dxa"/>
            <w:bottom w:w="0" w:type="dxa"/>
            <w:right w:w="108" w:type="dxa"/>
          </w:tblCellMar>
        </w:tblPrEx>
        <w:trPr>
          <w:trHeight w:val="390" w:hRule="atLeast"/>
        </w:trPr>
        <w:tc>
          <w:tcPr>
            <w:tcW w:w="3984"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291" w:type="dxa"/>
            <w:gridSpan w:val="3"/>
            <w:tcBorders>
              <w:top w:val="single" w:color="auto" w:sz="4" w:space="0"/>
              <w:left w:val="single" w:color="auto" w:sz="4" w:space="0"/>
              <w:bottom w:val="single" w:color="auto" w:sz="4" w:space="0"/>
              <w:right w:val="nil"/>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经济分类科目编码</w:t>
            </w:r>
          </w:p>
        </w:tc>
        <w:tc>
          <w:tcPr>
            <w:tcW w:w="2693"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Cs w:val="21"/>
              </w:rPr>
            </w:pPr>
            <w:r>
              <w:rPr>
                <w:rFonts w:ascii="??_GB2312" w:hAnsi="宋体" w:eastAsia="Times New Roman"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类</w:t>
            </w:r>
          </w:p>
        </w:tc>
        <w:tc>
          <w:tcPr>
            <w:tcW w:w="775" w:type="dxa"/>
            <w:gridSpan w:val="2"/>
            <w:tcBorders>
              <w:top w:val="nil"/>
              <w:left w:val="nil"/>
              <w:bottom w:val="single" w:color="auto" w:sz="4" w:space="0"/>
              <w:right w:val="single" w:color="auto" w:sz="4" w:space="0"/>
            </w:tcBorders>
            <w:vAlign w:val="center"/>
          </w:tcPr>
          <w:p>
            <w:pPr>
              <w:widowControl/>
              <w:jc w:val="left"/>
              <w:rPr>
                <w:rFonts w:ascii="??_GB2312" w:hAnsi="宋体" w:eastAsia="Times New Roman" w:cs="宋体"/>
                <w:b/>
                <w:bCs/>
                <w:color w:val="000000"/>
                <w:kern w:val="0"/>
                <w:sz w:val="20"/>
                <w:szCs w:val="20"/>
              </w:rPr>
            </w:pPr>
            <w:r>
              <w:rPr>
                <w:rFonts w:ascii="??_GB2312" w:hAnsi="宋体" w:eastAsia="Times New Roman" w:cs="宋体"/>
                <w:b/>
                <w:bCs/>
                <w:color w:val="000000"/>
                <w:kern w:val="0"/>
                <w:sz w:val="20"/>
                <w:szCs w:val="20"/>
              </w:rPr>
              <w:t>款</w:t>
            </w:r>
          </w:p>
        </w:tc>
        <w:tc>
          <w:tcPr>
            <w:tcW w:w="2693"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30229</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福利费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2.33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2.33</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30228</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工会经费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1.30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1.30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30113</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住房公积金</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21.83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21.83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30112</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其他社会保障缴费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15.99</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15.99</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30102</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津贴补贴</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118.19</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118.19</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303</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30305</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生活补助</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1.33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1.33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30108</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机关事业单位基本养老保险缴费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37.22</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37.22</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30201</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办公费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1.28</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1.28</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30101</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基本工资</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89.43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89.43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30231</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公务用车运行维护费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3.70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3.70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301</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30103</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奖金</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7.45</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7.45</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303</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30309</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奖励金</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0.6</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0.6</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303</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30302</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退休费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7.96</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7.96</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30207</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邮电费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1.44</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1.44</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18"/>
                <w:szCs w:val="18"/>
              </w:rPr>
              <w:t>302</w:t>
            </w: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r>
              <w:rPr>
                <w:rFonts w:ascii="宋体" w:hAnsi="宋体" w:cs="宋体"/>
                <w:kern w:val="0"/>
                <w:sz w:val="18"/>
                <w:szCs w:val="18"/>
              </w:rPr>
              <w:t>30211</w:t>
            </w: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r>
              <w:rPr>
                <w:rFonts w:hint="eastAsia" w:ascii="宋体" w:hAnsi="宋体" w:cs="宋体"/>
                <w:kern w:val="0"/>
                <w:sz w:val="18"/>
                <w:szCs w:val="18"/>
              </w:rPr>
              <w:t>差旅费</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0.3</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cs="宋体"/>
                <w:kern w:val="0"/>
                <w:sz w:val="20"/>
                <w:szCs w:val="20"/>
              </w:rPr>
              <w:t>0.00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0.3</w:t>
            </w: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p>
        </w:tc>
        <w:tc>
          <w:tcPr>
            <w:tcW w:w="633" w:type="dxa"/>
            <w:tcBorders>
              <w:top w:val="nil"/>
              <w:left w:val="nil"/>
              <w:bottom w:val="single" w:color="auto" w:sz="4" w:space="0"/>
              <w:right w:val="single" w:color="auto" w:sz="4" w:space="0"/>
            </w:tcBorders>
            <w:vAlign w:val="center"/>
          </w:tcPr>
          <w:p>
            <w:pPr>
              <w:widowControl/>
              <w:rPr>
                <w:rFonts w:ascii="宋体" w:cs="宋体"/>
                <w:kern w:val="0"/>
                <w:sz w:val="24"/>
              </w:rPr>
            </w:pPr>
          </w:p>
        </w:tc>
        <w:tc>
          <w:tcPr>
            <w:tcW w:w="2835" w:type="dxa"/>
            <w:gridSpan w:val="2"/>
            <w:tcBorders>
              <w:top w:val="nil"/>
              <w:left w:val="nil"/>
              <w:bottom w:val="single" w:color="auto" w:sz="4" w:space="0"/>
              <w:right w:val="single" w:color="auto" w:sz="4" w:space="0"/>
            </w:tcBorders>
            <w:vAlign w:val="center"/>
          </w:tcPr>
          <w:p>
            <w:pPr>
              <w:widowControl/>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p>
        </w:tc>
      </w:tr>
      <w:tr>
        <w:tblPrEx>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633"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835"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合计</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310.35</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300</w:t>
            </w:r>
          </w:p>
        </w:tc>
        <w:tc>
          <w:tcPr>
            <w:tcW w:w="1701" w:type="dxa"/>
            <w:tcBorders>
              <w:top w:val="nil"/>
              <w:left w:val="nil"/>
              <w:bottom w:val="single" w:color="auto" w:sz="4" w:space="0"/>
              <w:right w:val="single" w:color="auto" w:sz="4" w:space="0"/>
            </w:tcBorders>
            <w:vAlign w:val="center"/>
          </w:tcPr>
          <w:p>
            <w:pPr>
              <w:widowControl/>
              <w:jc w:val="right"/>
              <w:rPr>
                <w:rFonts w:ascii="宋体" w:cs="宋体"/>
                <w:kern w:val="0"/>
                <w:sz w:val="24"/>
              </w:rPr>
            </w:pPr>
            <w:r>
              <w:rPr>
                <w:rFonts w:ascii="宋体" w:hAnsi="宋体" w:cs="宋体"/>
                <w:kern w:val="0"/>
                <w:sz w:val="20"/>
                <w:szCs w:val="20"/>
              </w:rPr>
              <w:t>10.35</w:t>
            </w: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表七：</w:t>
      </w:r>
    </w:p>
    <w:tbl>
      <w:tblPr>
        <w:tblStyle w:val="7"/>
        <w:tblW w:w="9469" w:type="dxa"/>
        <w:tblInd w:w="93" w:type="dxa"/>
        <w:tblLayout w:type="fixed"/>
        <w:tblCellMar>
          <w:top w:w="0" w:type="dxa"/>
          <w:left w:w="108" w:type="dxa"/>
          <w:bottom w:w="0" w:type="dxa"/>
          <w:right w:w="108" w:type="dxa"/>
        </w:tblCellMar>
      </w:tblPr>
      <w:tblGrid>
        <w:gridCol w:w="8"/>
        <w:gridCol w:w="433"/>
        <w:gridCol w:w="425"/>
        <w:gridCol w:w="425"/>
        <w:gridCol w:w="851"/>
        <w:gridCol w:w="1356"/>
        <w:gridCol w:w="750"/>
        <w:gridCol w:w="522"/>
        <w:gridCol w:w="490"/>
        <w:gridCol w:w="745"/>
        <w:gridCol w:w="625"/>
        <w:gridCol w:w="780"/>
        <w:gridCol w:w="543"/>
        <w:gridCol w:w="567"/>
        <w:gridCol w:w="284"/>
        <w:gridCol w:w="425"/>
        <w:gridCol w:w="232"/>
        <w:gridCol w:w="8"/>
      </w:tblGrid>
      <w:tr>
        <w:tblPrEx>
          <w:tblCellMar>
            <w:top w:w="0" w:type="dxa"/>
            <w:left w:w="108" w:type="dxa"/>
            <w:bottom w:w="0" w:type="dxa"/>
            <w:right w:w="108" w:type="dxa"/>
          </w:tblCellMar>
        </w:tblPrEx>
        <w:trPr>
          <w:gridBefore w:val="1"/>
          <w:gridAfter w:val="1"/>
          <w:wBefore w:w="8" w:type="dxa"/>
          <w:wAfter w:w="8" w:type="dxa"/>
          <w:trHeight w:val="375" w:hRule="atLeast"/>
        </w:trPr>
        <w:tc>
          <w:tcPr>
            <w:tcW w:w="9453" w:type="dxa"/>
            <w:gridSpan w:val="16"/>
            <w:tcBorders>
              <w:top w:val="nil"/>
              <w:left w:val="nil"/>
              <w:bottom w:val="nil"/>
              <w:right w:val="nil"/>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8" w:type="dxa"/>
          <w:trHeight w:val="405" w:hRule="atLeast"/>
        </w:trPr>
        <w:tc>
          <w:tcPr>
            <w:tcW w:w="9453" w:type="dxa"/>
            <w:gridSpan w:val="16"/>
            <w:tcBorders>
              <w:top w:val="nil"/>
              <w:left w:val="nil"/>
              <w:bottom w:val="nil"/>
              <w:right w:val="nil"/>
            </w:tcBorders>
            <w:vAlign w:val="center"/>
          </w:tcPr>
          <w:p>
            <w:pPr>
              <w:widowControl/>
              <w:jc w:val="left"/>
              <w:rPr>
                <w:rFonts w:ascii="??_GB2312" w:hAnsi="宋体" w:eastAsia="Times New Roman" w:cs="宋体"/>
                <w:color w:val="000000"/>
                <w:kern w:val="0"/>
                <w:sz w:val="24"/>
              </w:rPr>
            </w:pPr>
            <w:r>
              <w:rPr>
                <w:rFonts w:ascii="??_GB2312" w:hAnsi="宋体" w:eastAsia="Times New Roman" w:cs="宋体"/>
                <w:color w:val="000000"/>
                <w:kern w:val="0"/>
                <w:sz w:val="24"/>
              </w:rPr>
              <w:t>编制部门：</w:t>
            </w:r>
            <w:r>
              <w:rPr>
                <w:rFonts w:hint="eastAsia" w:ascii="??_GB2312" w:hAnsi="宋体" w:cs="宋体"/>
                <w:color w:val="000000"/>
                <w:kern w:val="0"/>
                <w:sz w:val="24"/>
                <w:lang w:eastAsia="zh-CN"/>
              </w:rPr>
              <w:t>克孜勒苏柯尔克孜自治州林业工作管理站（林业技术推广站）</w:t>
            </w:r>
            <w:r>
              <w:rPr>
                <w:rFonts w:ascii="??_GB2312" w:hAnsi="宋体" w:eastAsia="Times New Roman" w:cs="宋体"/>
                <w:color w:val="000000"/>
                <w:kern w:val="0"/>
                <w:sz w:val="24"/>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91" w:type="dxa"/>
            <w:gridSpan w:val="4"/>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科 目 编 码</w:t>
            </w:r>
          </w:p>
        </w:tc>
        <w:tc>
          <w:tcPr>
            <w:tcW w:w="851"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科目</w:t>
            </w:r>
          </w:p>
        </w:tc>
        <w:tc>
          <w:tcPr>
            <w:tcW w:w="1356" w:type="dxa"/>
            <w:vMerge w:val="restart"/>
            <w:vAlign w:val="center"/>
          </w:tcPr>
          <w:p>
            <w:pPr>
              <w:jc w:val="center"/>
              <w:rPr>
                <w:rFonts w:ascii="Calibri" w:hAnsi="Calibri"/>
                <w:sz w:val="24"/>
              </w:rPr>
            </w:pPr>
            <w:r>
              <w:rPr>
                <w:rFonts w:ascii="??_GB2312" w:hAnsi="宋体" w:eastAsia="Times New Roman"/>
                <w:b/>
                <w:kern w:val="0"/>
                <w:sz w:val="24"/>
              </w:rPr>
              <w:t>项目名称</w:t>
            </w:r>
          </w:p>
        </w:tc>
        <w:tc>
          <w:tcPr>
            <w:tcW w:w="750"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项目支出合计</w:t>
            </w:r>
          </w:p>
        </w:tc>
        <w:tc>
          <w:tcPr>
            <w:tcW w:w="522"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工资福利支出</w:t>
            </w:r>
          </w:p>
        </w:tc>
        <w:tc>
          <w:tcPr>
            <w:tcW w:w="490"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商品和服务支出</w:t>
            </w:r>
          </w:p>
        </w:tc>
        <w:tc>
          <w:tcPr>
            <w:tcW w:w="745"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对个人和家庭的补助</w:t>
            </w:r>
          </w:p>
        </w:tc>
        <w:tc>
          <w:tcPr>
            <w:tcW w:w="625"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债务利息及费用支出</w:t>
            </w:r>
          </w:p>
        </w:tc>
        <w:tc>
          <w:tcPr>
            <w:tcW w:w="780"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资本性支出（基本建设）</w:t>
            </w:r>
          </w:p>
        </w:tc>
        <w:tc>
          <w:tcPr>
            <w:tcW w:w="543"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资本性支出</w:t>
            </w:r>
          </w:p>
        </w:tc>
        <w:tc>
          <w:tcPr>
            <w:tcW w:w="567"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对企业补助（基本建设）</w:t>
            </w:r>
          </w:p>
        </w:tc>
        <w:tc>
          <w:tcPr>
            <w:tcW w:w="284"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对企业补助</w:t>
            </w:r>
          </w:p>
        </w:tc>
        <w:tc>
          <w:tcPr>
            <w:tcW w:w="425" w:type="dxa"/>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对社会保障基金补助</w:t>
            </w:r>
          </w:p>
        </w:tc>
        <w:tc>
          <w:tcPr>
            <w:tcW w:w="240" w:type="dxa"/>
            <w:gridSpan w:val="2"/>
            <w:vMerge w:val="restart"/>
            <w:vAlign w:val="center"/>
          </w:tcPr>
          <w:p>
            <w:pPr>
              <w:widowControl/>
              <w:jc w:val="center"/>
              <w:outlineLvl w:val="1"/>
              <w:rPr>
                <w:rFonts w:ascii="??_GB2312" w:hAnsi="宋体" w:eastAsia="Times New Roman"/>
                <w:b/>
                <w:kern w:val="0"/>
                <w:sz w:val="18"/>
                <w:szCs w:val="18"/>
              </w:rPr>
            </w:pPr>
            <w:r>
              <w:rPr>
                <w:rFonts w:ascii="??_GB2312" w:hAnsi="宋体" w:eastAsia="Times New Roman"/>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41" w:type="dxa"/>
            <w:gridSpan w:val="2"/>
            <w:vAlign w:val="center"/>
          </w:tcPr>
          <w:p>
            <w:pPr>
              <w:widowControl/>
              <w:jc w:val="left"/>
              <w:outlineLvl w:val="1"/>
              <w:rPr>
                <w:rFonts w:ascii="??_GB2312" w:hAnsi="宋体" w:eastAsia="Times New Roman"/>
                <w:b/>
                <w:kern w:val="0"/>
                <w:sz w:val="18"/>
                <w:szCs w:val="18"/>
              </w:rPr>
            </w:pPr>
            <w:r>
              <w:rPr>
                <w:rFonts w:ascii="??_GB2312" w:hAnsi="宋体" w:eastAsia="Times New Roman"/>
                <w:b/>
                <w:kern w:val="0"/>
                <w:sz w:val="18"/>
                <w:szCs w:val="18"/>
              </w:rPr>
              <w:t>类</w:t>
            </w:r>
          </w:p>
        </w:tc>
        <w:tc>
          <w:tcPr>
            <w:tcW w:w="425" w:type="dxa"/>
            <w:vAlign w:val="center"/>
          </w:tcPr>
          <w:p>
            <w:pPr>
              <w:widowControl/>
              <w:jc w:val="left"/>
              <w:outlineLvl w:val="1"/>
              <w:rPr>
                <w:rFonts w:ascii="??_GB2312" w:hAnsi="宋体" w:eastAsia="Times New Roman"/>
                <w:b/>
                <w:kern w:val="0"/>
                <w:sz w:val="18"/>
                <w:szCs w:val="18"/>
              </w:rPr>
            </w:pPr>
            <w:r>
              <w:rPr>
                <w:rFonts w:ascii="??_GB2312" w:hAnsi="宋体" w:eastAsia="Times New Roman"/>
                <w:b/>
                <w:kern w:val="0"/>
                <w:sz w:val="18"/>
                <w:szCs w:val="18"/>
              </w:rPr>
              <w:t>款</w:t>
            </w:r>
          </w:p>
        </w:tc>
        <w:tc>
          <w:tcPr>
            <w:tcW w:w="425" w:type="dxa"/>
            <w:vAlign w:val="center"/>
          </w:tcPr>
          <w:p>
            <w:pPr>
              <w:widowControl/>
              <w:jc w:val="left"/>
              <w:outlineLvl w:val="1"/>
              <w:rPr>
                <w:rFonts w:ascii="??_GB2312" w:hAnsi="宋体" w:eastAsia="Times New Roman"/>
                <w:b/>
                <w:kern w:val="0"/>
                <w:sz w:val="18"/>
                <w:szCs w:val="18"/>
              </w:rPr>
            </w:pPr>
            <w:r>
              <w:rPr>
                <w:rFonts w:ascii="??_GB2312" w:hAnsi="宋体" w:eastAsia="Times New Roman"/>
                <w:b/>
                <w:kern w:val="0"/>
                <w:sz w:val="18"/>
                <w:szCs w:val="18"/>
              </w:rPr>
              <w:t>项</w:t>
            </w:r>
          </w:p>
        </w:tc>
        <w:tc>
          <w:tcPr>
            <w:tcW w:w="851" w:type="dxa"/>
            <w:vMerge w:val="continue"/>
            <w:vAlign w:val="center"/>
          </w:tcPr>
          <w:p>
            <w:pPr>
              <w:widowControl/>
              <w:jc w:val="left"/>
              <w:outlineLvl w:val="1"/>
              <w:rPr>
                <w:rFonts w:ascii="??_GB2312" w:hAnsi="宋体" w:eastAsia="Times New Roman"/>
                <w:b/>
                <w:kern w:val="0"/>
                <w:sz w:val="18"/>
                <w:szCs w:val="18"/>
              </w:rPr>
            </w:pPr>
          </w:p>
        </w:tc>
        <w:tc>
          <w:tcPr>
            <w:tcW w:w="1356" w:type="dxa"/>
            <w:vMerge w:val="continue"/>
          </w:tcPr>
          <w:p>
            <w:pPr>
              <w:widowControl/>
              <w:jc w:val="left"/>
              <w:outlineLvl w:val="1"/>
              <w:rPr>
                <w:rFonts w:ascii="??_GB2312" w:hAnsi="宋体" w:eastAsia="Times New Roman"/>
                <w:b/>
                <w:kern w:val="0"/>
                <w:sz w:val="18"/>
                <w:szCs w:val="18"/>
              </w:rPr>
            </w:pPr>
          </w:p>
        </w:tc>
        <w:tc>
          <w:tcPr>
            <w:tcW w:w="750" w:type="dxa"/>
            <w:vMerge w:val="continue"/>
          </w:tcPr>
          <w:p>
            <w:pPr>
              <w:widowControl/>
              <w:jc w:val="left"/>
              <w:outlineLvl w:val="1"/>
              <w:rPr>
                <w:rFonts w:ascii="??_GB2312" w:hAnsi="宋体" w:eastAsia="Times New Roman"/>
                <w:b/>
                <w:kern w:val="0"/>
                <w:sz w:val="18"/>
                <w:szCs w:val="18"/>
              </w:rPr>
            </w:pPr>
          </w:p>
        </w:tc>
        <w:tc>
          <w:tcPr>
            <w:tcW w:w="522" w:type="dxa"/>
            <w:vMerge w:val="continue"/>
          </w:tcPr>
          <w:p>
            <w:pPr>
              <w:widowControl/>
              <w:jc w:val="left"/>
              <w:outlineLvl w:val="1"/>
              <w:rPr>
                <w:rFonts w:ascii="??_GB2312" w:hAnsi="宋体" w:eastAsia="Times New Roman"/>
                <w:b/>
                <w:kern w:val="0"/>
                <w:sz w:val="18"/>
                <w:szCs w:val="18"/>
              </w:rPr>
            </w:pPr>
          </w:p>
        </w:tc>
        <w:tc>
          <w:tcPr>
            <w:tcW w:w="490" w:type="dxa"/>
            <w:vMerge w:val="continue"/>
          </w:tcPr>
          <w:p>
            <w:pPr>
              <w:widowControl/>
              <w:jc w:val="left"/>
              <w:outlineLvl w:val="1"/>
              <w:rPr>
                <w:rFonts w:ascii="??_GB2312" w:hAnsi="宋体" w:eastAsia="Times New Roman"/>
                <w:b/>
                <w:kern w:val="0"/>
                <w:sz w:val="18"/>
                <w:szCs w:val="18"/>
              </w:rPr>
            </w:pPr>
          </w:p>
        </w:tc>
        <w:tc>
          <w:tcPr>
            <w:tcW w:w="745" w:type="dxa"/>
            <w:vMerge w:val="continue"/>
          </w:tcPr>
          <w:p>
            <w:pPr>
              <w:widowControl/>
              <w:jc w:val="left"/>
              <w:outlineLvl w:val="1"/>
              <w:rPr>
                <w:rFonts w:ascii="??_GB2312" w:hAnsi="宋体" w:eastAsia="Times New Roman"/>
                <w:b/>
                <w:kern w:val="0"/>
                <w:sz w:val="18"/>
                <w:szCs w:val="18"/>
              </w:rPr>
            </w:pPr>
          </w:p>
        </w:tc>
        <w:tc>
          <w:tcPr>
            <w:tcW w:w="625" w:type="dxa"/>
            <w:vMerge w:val="continue"/>
          </w:tcPr>
          <w:p>
            <w:pPr>
              <w:widowControl/>
              <w:jc w:val="left"/>
              <w:outlineLvl w:val="1"/>
              <w:rPr>
                <w:rFonts w:ascii="??_GB2312" w:hAnsi="宋体" w:eastAsia="Times New Roman"/>
                <w:b/>
                <w:kern w:val="0"/>
                <w:sz w:val="18"/>
                <w:szCs w:val="18"/>
              </w:rPr>
            </w:pPr>
          </w:p>
        </w:tc>
        <w:tc>
          <w:tcPr>
            <w:tcW w:w="780" w:type="dxa"/>
            <w:vMerge w:val="continue"/>
          </w:tcPr>
          <w:p>
            <w:pPr>
              <w:widowControl/>
              <w:jc w:val="left"/>
              <w:outlineLvl w:val="1"/>
              <w:rPr>
                <w:rFonts w:ascii="??_GB2312" w:hAnsi="宋体" w:eastAsia="Times New Roman"/>
                <w:b/>
                <w:kern w:val="0"/>
                <w:sz w:val="18"/>
                <w:szCs w:val="18"/>
              </w:rPr>
            </w:pPr>
          </w:p>
        </w:tc>
        <w:tc>
          <w:tcPr>
            <w:tcW w:w="543" w:type="dxa"/>
            <w:vMerge w:val="continue"/>
          </w:tcPr>
          <w:p>
            <w:pPr>
              <w:widowControl/>
              <w:jc w:val="left"/>
              <w:outlineLvl w:val="1"/>
              <w:rPr>
                <w:rFonts w:ascii="??_GB2312" w:hAnsi="宋体" w:eastAsia="Times New Roman"/>
                <w:b/>
                <w:kern w:val="0"/>
                <w:sz w:val="18"/>
                <w:szCs w:val="18"/>
              </w:rPr>
            </w:pPr>
          </w:p>
        </w:tc>
        <w:tc>
          <w:tcPr>
            <w:tcW w:w="567" w:type="dxa"/>
            <w:vMerge w:val="continue"/>
          </w:tcPr>
          <w:p>
            <w:pPr>
              <w:widowControl/>
              <w:jc w:val="left"/>
              <w:outlineLvl w:val="1"/>
              <w:rPr>
                <w:rFonts w:ascii="??_GB2312" w:hAnsi="宋体" w:eastAsia="Times New Roman"/>
                <w:b/>
                <w:kern w:val="0"/>
                <w:sz w:val="18"/>
                <w:szCs w:val="18"/>
              </w:rPr>
            </w:pPr>
          </w:p>
        </w:tc>
        <w:tc>
          <w:tcPr>
            <w:tcW w:w="284" w:type="dxa"/>
            <w:vMerge w:val="continue"/>
          </w:tcPr>
          <w:p>
            <w:pPr>
              <w:widowControl/>
              <w:jc w:val="left"/>
              <w:outlineLvl w:val="1"/>
              <w:rPr>
                <w:rFonts w:ascii="??_GB2312" w:hAnsi="宋体" w:eastAsia="Times New Roman"/>
                <w:b/>
                <w:kern w:val="0"/>
                <w:sz w:val="18"/>
                <w:szCs w:val="18"/>
              </w:rPr>
            </w:pPr>
          </w:p>
        </w:tc>
        <w:tc>
          <w:tcPr>
            <w:tcW w:w="425" w:type="dxa"/>
            <w:vMerge w:val="continue"/>
          </w:tcPr>
          <w:p>
            <w:pPr>
              <w:widowControl/>
              <w:jc w:val="left"/>
              <w:outlineLvl w:val="1"/>
              <w:rPr>
                <w:rFonts w:ascii="??_GB2312" w:hAnsi="宋体" w:eastAsia="Times New Roman"/>
                <w:b/>
                <w:kern w:val="0"/>
                <w:sz w:val="18"/>
                <w:szCs w:val="18"/>
              </w:rPr>
            </w:pPr>
          </w:p>
        </w:tc>
        <w:tc>
          <w:tcPr>
            <w:tcW w:w="240" w:type="dxa"/>
            <w:gridSpan w:val="2"/>
            <w:vMerge w:val="continue"/>
          </w:tcPr>
          <w:p>
            <w:pPr>
              <w:widowControl/>
              <w:jc w:val="left"/>
              <w:outlineLvl w:val="1"/>
              <w:rPr>
                <w:rFonts w:ascii="??_GB2312" w:hAnsi="宋体" w:eastAsia="Times New Roman"/>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213　</w:t>
            </w:r>
          </w:p>
        </w:tc>
        <w:tc>
          <w:tcPr>
            <w:tcW w:w="425" w:type="dxa"/>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02</w:t>
            </w:r>
          </w:p>
        </w:tc>
        <w:tc>
          <w:tcPr>
            <w:tcW w:w="425"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06　</w:t>
            </w:r>
          </w:p>
        </w:tc>
        <w:tc>
          <w:tcPr>
            <w:tcW w:w="851"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林业事业机构</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18"/>
                <w:szCs w:val="18"/>
              </w:rPr>
              <w:t>北山病虫害防治费　</w:t>
            </w: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Cs w:val="21"/>
              </w:rPr>
            </w:pPr>
            <w:r>
              <w:rPr>
                <w:rFonts w:ascii="??_GB2312" w:hAnsi="宋体" w:eastAsia="Times New Roman"/>
                <w:kern w:val="0"/>
                <w:szCs w:val="21"/>
              </w:rPr>
              <w:t>　5.00</w:t>
            </w:r>
          </w:p>
        </w:tc>
        <w:tc>
          <w:tcPr>
            <w:tcW w:w="522"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　</w:t>
            </w:r>
          </w:p>
        </w:tc>
        <w:tc>
          <w:tcPr>
            <w:tcW w:w="490" w:type="dxa"/>
          </w:tcPr>
          <w:p>
            <w:pPr>
              <w:widowControl/>
              <w:jc w:val="left"/>
              <w:outlineLvl w:val="1"/>
              <w:rPr>
                <w:rFonts w:ascii="??_GB2312" w:hAnsi="宋体" w:eastAsia="Times New Roman"/>
                <w:kern w:val="0"/>
                <w:szCs w:val="21"/>
              </w:rPr>
            </w:pPr>
          </w:p>
          <w:p>
            <w:pPr>
              <w:widowControl/>
              <w:jc w:val="left"/>
              <w:outlineLvl w:val="1"/>
              <w:rPr>
                <w:rFonts w:ascii="??_GB2312" w:hAnsi="宋体" w:eastAsia="Times New Roman"/>
                <w:kern w:val="0"/>
                <w:szCs w:val="21"/>
              </w:rPr>
            </w:pPr>
            <w:r>
              <w:rPr>
                <w:rFonts w:ascii="??_GB2312" w:hAnsi="宋体" w:eastAsia="Times New Roman"/>
                <w:kern w:val="0"/>
                <w:szCs w:val="21"/>
              </w:rPr>
              <w:t>5.00</w:t>
            </w:r>
          </w:p>
        </w:tc>
        <w:tc>
          <w:tcPr>
            <w:tcW w:w="745" w:type="dxa"/>
          </w:tcPr>
          <w:p>
            <w:pPr>
              <w:widowControl/>
              <w:jc w:val="left"/>
              <w:outlineLvl w:val="1"/>
              <w:rPr>
                <w:rFonts w:ascii="??_GB2312" w:hAnsi="宋体" w:eastAsia="Times New Roman"/>
                <w:kern w:val="0"/>
                <w:szCs w:val="21"/>
              </w:rPr>
            </w:pPr>
            <w:r>
              <w:rPr>
                <w:rFonts w:ascii="??_GB2312" w:hAnsi="宋体" w:eastAsia="Times New Roman"/>
                <w:kern w:val="0"/>
                <w:szCs w:val="21"/>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213　</w:t>
            </w:r>
          </w:p>
        </w:tc>
        <w:tc>
          <w:tcPr>
            <w:tcW w:w="425" w:type="dxa"/>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02　</w:t>
            </w:r>
          </w:p>
        </w:tc>
        <w:tc>
          <w:tcPr>
            <w:tcW w:w="425"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04　</w:t>
            </w:r>
          </w:p>
        </w:tc>
        <w:tc>
          <w:tcPr>
            <w:tcW w:w="851"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林业事业机构</w:t>
            </w:r>
          </w:p>
        </w:tc>
        <w:tc>
          <w:tcPr>
            <w:tcW w:w="1356"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群众工作人员补助</w:t>
            </w:r>
          </w:p>
        </w:tc>
        <w:tc>
          <w:tcPr>
            <w:tcW w:w="750" w:type="dxa"/>
          </w:tcPr>
          <w:p>
            <w:pPr>
              <w:widowControl/>
              <w:jc w:val="left"/>
              <w:outlineLvl w:val="1"/>
              <w:rPr>
                <w:rFonts w:ascii="??_GB2312" w:hAnsi="宋体" w:eastAsia="Times New Roman"/>
                <w:kern w:val="0"/>
                <w:szCs w:val="21"/>
              </w:rPr>
            </w:pPr>
            <w:r>
              <w:rPr>
                <w:rFonts w:ascii="??_GB2312" w:hAnsi="宋体" w:eastAsia="Times New Roman"/>
                <w:kern w:val="0"/>
                <w:szCs w:val="21"/>
              </w:rPr>
              <w:t>　25.92</w:t>
            </w:r>
          </w:p>
        </w:tc>
        <w:tc>
          <w:tcPr>
            <w:tcW w:w="522"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　</w:t>
            </w:r>
          </w:p>
        </w:tc>
        <w:tc>
          <w:tcPr>
            <w:tcW w:w="490" w:type="dxa"/>
          </w:tcPr>
          <w:p>
            <w:pPr>
              <w:widowControl/>
              <w:jc w:val="left"/>
              <w:outlineLvl w:val="1"/>
              <w:rPr>
                <w:rFonts w:ascii="??_GB2312" w:hAnsi="宋体" w:eastAsia="Times New Roman"/>
                <w:kern w:val="0"/>
                <w:szCs w:val="21"/>
              </w:rPr>
            </w:pPr>
            <w:r>
              <w:rPr>
                <w:rFonts w:ascii="??_GB2312" w:hAnsi="宋体" w:eastAsia="Times New Roman"/>
                <w:kern w:val="0"/>
                <w:szCs w:val="21"/>
              </w:rPr>
              <w:t>　</w:t>
            </w:r>
          </w:p>
        </w:tc>
        <w:tc>
          <w:tcPr>
            <w:tcW w:w="745" w:type="dxa"/>
          </w:tcPr>
          <w:p>
            <w:pPr>
              <w:widowControl/>
              <w:jc w:val="left"/>
              <w:outlineLvl w:val="1"/>
              <w:rPr>
                <w:rFonts w:ascii="??_GB2312" w:hAnsi="宋体" w:eastAsia="Times New Roman"/>
                <w:kern w:val="0"/>
                <w:szCs w:val="21"/>
              </w:rPr>
            </w:pPr>
            <w:r>
              <w:rPr>
                <w:rFonts w:ascii="??_GB2312" w:hAnsi="宋体" w:eastAsia="Times New Roman"/>
                <w:kern w:val="0"/>
                <w:szCs w:val="21"/>
              </w:rPr>
              <w:t>　25.92</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213　</w:t>
            </w:r>
          </w:p>
        </w:tc>
        <w:tc>
          <w:tcPr>
            <w:tcW w:w="425" w:type="dxa"/>
          </w:tcPr>
          <w:p>
            <w:pPr>
              <w:widowControl/>
              <w:jc w:val="left"/>
              <w:outlineLvl w:val="1"/>
              <w:rPr>
                <w:rFonts w:ascii="??_GB2312" w:hAnsi="宋体" w:eastAsia="Times New Roman"/>
                <w:kern w:val="0"/>
                <w:sz w:val="15"/>
                <w:szCs w:val="15"/>
              </w:rPr>
            </w:pPr>
            <w:r>
              <w:rPr>
                <w:rFonts w:ascii="??_GB2312" w:hAnsi="宋体" w:eastAsia="Times New Roman"/>
                <w:kern w:val="0"/>
                <w:sz w:val="15"/>
                <w:szCs w:val="15"/>
              </w:rPr>
              <w:t>02　</w:t>
            </w:r>
          </w:p>
        </w:tc>
        <w:tc>
          <w:tcPr>
            <w:tcW w:w="425"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99　</w:t>
            </w:r>
          </w:p>
        </w:tc>
        <w:tc>
          <w:tcPr>
            <w:tcW w:w="851"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林业事业机构</w:t>
            </w:r>
          </w:p>
        </w:tc>
        <w:tc>
          <w:tcPr>
            <w:tcW w:w="1356"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群众工作经费</w:t>
            </w:r>
          </w:p>
        </w:tc>
        <w:tc>
          <w:tcPr>
            <w:tcW w:w="750" w:type="dxa"/>
          </w:tcPr>
          <w:p>
            <w:pPr>
              <w:widowControl/>
              <w:jc w:val="left"/>
              <w:outlineLvl w:val="1"/>
              <w:rPr>
                <w:rFonts w:ascii="??_GB2312" w:hAnsi="宋体" w:eastAsia="Times New Roman"/>
                <w:kern w:val="0"/>
                <w:szCs w:val="21"/>
              </w:rPr>
            </w:pPr>
            <w:r>
              <w:rPr>
                <w:rFonts w:ascii="??_GB2312" w:hAnsi="宋体" w:eastAsia="Times New Roman"/>
                <w:kern w:val="0"/>
                <w:szCs w:val="21"/>
              </w:rPr>
              <w:t>14.00　</w:t>
            </w:r>
          </w:p>
        </w:tc>
        <w:tc>
          <w:tcPr>
            <w:tcW w:w="522"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　</w:t>
            </w:r>
          </w:p>
        </w:tc>
        <w:tc>
          <w:tcPr>
            <w:tcW w:w="490" w:type="dxa"/>
          </w:tcPr>
          <w:p>
            <w:pPr>
              <w:widowControl/>
              <w:jc w:val="left"/>
              <w:outlineLvl w:val="1"/>
              <w:rPr>
                <w:rFonts w:ascii="??_GB2312" w:hAnsi="宋体" w:eastAsia="Times New Roman"/>
                <w:kern w:val="0"/>
                <w:sz w:val="18"/>
                <w:szCs w:val="18"/>
              </w:rPr>
            </w:pPr>
            <w:r>
              <w:rPr>
                <w:rFonts w:ascii="??_GB2312" w:hAnsi="宋体" w:eastAsia="Times New Roman"/>
                <w:kern w:val="0"/>
                <w:sz w:val="18"/>
                <w:szCs w:val="18"/>
              </w:rPr>
              <w:t>14.00　</w:t>
            </w:r>
          </w:p>
        </w:tc>
        <w:tc>
          <w:tcPr>
            <w:tcW w:w="745" w:type="dxa"/>
          </w:tcPr>
          <w:p>
            <w:pPr>
              <w:widowControl/>
              <w:jc w:val="left"/>
              <w:outlineLvl w:val="1"/>
              <w:rPr>
                <w:rFonts w:ascii="??_GB2312" w:hAnsi="宋体" w:eastAsia="Times New Roman"/>
                <w:kern w:val="0"/>
                <w:szCs w:val="21"/>
              </w:rPr>
            </w:pPr>
            <w:r>
              <w:rPr>
                <w:rFonts w:ascii="??_GB2312" w:hAnsi="宋体" w:eastAsia="Times New Roman"/>
                <w:kern w:val="0"/>
                <w:szCs w:val="21"/>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5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4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p>
        </w:tc>
        <w:tc>
          <w:tcPr>
            <w:tcW w:w="425" w:type="dxa"/>
          </w:tcPr>
          <w:p>
            <w:pPr>
              <w:widowControl/>
              <w:jc w:val="left"/>
              <w:outlineLvl w:val="1"/>
              <w:rPr>
                <w:rFonts w:ascii="??_GB2312" w:hAnsi="宋体" w:eastAsia="Times New Roman"/>
                <w:kern w:val="0"/>
                <w:sz w:val="32"/>
                <w:szCs w:val="32"/>
              </w:rPr>
            </w:pPr>
          </w:p>
        </w:tc>
        <w:tc>
          <w:tcPr>
            <w:tcW w:w="425" w:type="dxa"/>
          </w:tcPr>
          <w:p>
            <w:pPr>
              <w:widowControl/>
              <w:jc w:val="left"/>
              <w:outlineLvl w:val="1"/>
              <w:rPr>
                <w:rFonts w:ascii="??_GB2312" w:hAnsi="宋体" w:eastAsia="Times New Roman"/>
                <w:kern w:val="0"/>
                <w:sz w:val="32"/>
                <w:szCs w:val="32"/>
              </w:rPr>
            </w:pPr>
          </w:p>
        </w:tc>
        <w:tc>
          <w:tcPr>
            <w:tcW w:w="851" w:type="dxa"/>
          </w:tcPr>
          <w:p>
            <w:pPr>
              <w:widowControl/>
              <w:jc w:val="left"/>
              <w:outlineLvl w:val="1"/>
              <w:rPr>
                <w:rFonts w:ascii="??_GB2312" w:hAnsi="宋体" w:eastAsia="Times New Roman"/>
                <w:kern w:val="0"/>
                <w:sz w:val="32"/>
                <w:szCs w:val="32"/>
              </w:rPr>
            </w:pPr>
          </w:p>
        </w:tc>
        <w:tc>
          <w:tcPr>
            <w:tcW w:w="1356" w:type="dxa"/>
          </w:tcPr>
          <w:p>
            <w:pPr>
              <w:widowControl/>
              <w:jc w:val="left"/>
              <w:outlineLvl w:val="1"/>
              <w:rPr>
                <w:rFonts w:ascii="??_GB2312" w:hAnsi="宋体" w:eastAsia="Times New Roman"/>
                <w:kern w:val="0"/>
                <w:sz w:val="32"/>
                <w:szCs w:val="32"/>
              </w:rPr>
            </w:pPr>
          </w:p>
        </w:tc>
        <w:tc>
          <w:tcPr>
            <w:tcW w:w="750" w:type="dxa"/>
          </w:tcPr>
          <w:p>
            <w:pPr>
              <w:widowControl/>
              <w:jc w:val="left"/>
              <w:outlineLvl w:val="1"/>
              <w:rPr>
                <w:rFonts w:ascii="??_GB2312" w:hAnsi="宋体" w:eastAsia="Times New Roman"/>
                <w:kern w:val="0"/>
                <w:sz w:val="32"/>
                <w:szCs w:val="32"/>
              </w:rPr>
            </w:pPr>
          </w:p>
        </w:tc>
        <w:tc>
          <w:tcPr>
            <w:tcW w:w="522" w:type="dxa"/>
          </w:tcPr>
          <w:p>
            <w:pPr>
              <w:widowControl/>
              <w:jc w:val="left"/>
              <w:outlineLvl w:val="1"/>
              <w:rPr>
                <w:rFonts w:ascii="??_GB2312" w:hAnsi="宋体" w:eastAsia="Times New Roman"/>
                <w:kern w:val="0"/>
                <w:sz w:val="32"/>
                <w:szCs w:val="32"/>
              </w:rPr>
            </w:pPr>
          </w:p>
        </w:tc>
        <w:tc>
          <w:tcPr>
            <w:tcW w:w="490" w:type="dxa"/>
          </w:tcPr>
          <w:p>
            <w:pPr>
              <w:widowControl/>
              <w:jc w:val="left"/>
              <w:outlineLvl w:val="1"/>
              <w:rPr>
                <w:rFonts w:ascii="??_GB2312" w:hAnsi="宋体" w:eastAsia="Times New Roman"/>
                <w:kern w:val="0"/>
                <w:sz w:val="32"/>
                <w:szCs w:val="32"/>
              </w:rPr>
            </w:pPr>
          </w:p>
        </w:tc>
        <w:tc>
          <w:tcPr>
            <w:tcW w:w="745" w:type="dxa"/>
          </w:tcPr>
          <w:p>
            <w:pPr>
              <w:widowControl/>
              <w:jc w:val="left"/>
              <w:outlineLvl w:val="1"/>
              <w:rPr>
                <w:rFonts w:ascii="??_GB2312" w:hAnsi="宋体" w:eastAsia="Times New Roman"/>
                <w:kern w:val="0"/>
                <w:sz w:val="32"/>
                <w:szCs w:val="32"/>
              </w:rPr>
            </w:pPr>
          </w:p>
        </w:tc>
        <w:tc>
          <w:tcPr>
            <w:tcW w:w="625" w:type="dxa"/>
          </w:tcPr>
          <w:p>
            <w:pPr>
              <w:widowControl/>
              <w:jc w:val="left"/>
              <w:outlineLvl w:val="1"/>
              <w:rPr>
                <w:rFonts w:ascii="??_GB2312" w:hAnsi="宋体" w:eastAsia="Times New Roman"/>
                <w:kern w:val="0"/>
                <w:sz w:val="32"/>
                <w:szCs w:val="32"/>
              </w:rPr>
            </w:pPr>
          </w:p>
        </w:tc>
        <w:tc>
          <w:tcPr>
            <w:tcW w:w="780" w:type="dxa"/>
          </w:tcPr>
          <w:p>
            <w:pPr>
              <w:widowControl/>
              <w:jc w:val="left"/>
              <w:outlineLvl w:val="1"/>
              <w:rPr>
                <w:rFonts w:ascii="??_GB2312" w:hAnsi="宋体" w:eastAsia="Times New Roman"/>
                <w:kern w:val="0"/>
                <w:sz w:val="32"/>
                <w:szCs w:val="32"/>
              </w:rPr>
            </w:pPr>
          </w:p>
        </w:tc>
        <w:tc>
          <w:tcPr>
            <w:tcW w:w="543" w:type="dxa"/>
          </w:tcPr>
          <w:p>
            <w:pPr>
              <w:widowControl/>
              <w:jc w:val="left"/>
              <w:outlineLvl w:val="1"/>
              <w:rPr>
                <w:rFonts w:ascii="??_GB2312" w:hAnsi="宋体" w:eastAsia="Times New Roman"/>
                <w:kern w:val="0"/>
                <w:sz w:val="32"/>
                <w:szCs w:val="32"/>
              </w:rPr>
            </w:pPr>
          </w:p>
        </w:tc>
        <w:tc>
          <w:tcPr>
            <w:tcW w:w="567" w:type="dxa"/>
          </w:tcPr>
          <w:p>
            <w:pPr>
              <w:widowControl/>
              <w:jc w:val="left"/>
              <w:outlineLvl w:val="1"/>
              <w:rPr>
                <w:rFonts w:ascii="??_GB2312" w:hAnsi="宋体" w:eastAsia="Times New Roman"/>
                <w:kern w:val="0"/>
                <w:sz w:val="32"/>
                <w:szCs w:val="32"/>
              </w:rPr>
            </w:pPr>
          </w:p>
        </w:tc>
        <w:tc>
          <w:tcPr>
            <w:tcW w:w="284" w:type="dxa"/>
          </w:tcPr>
          <w:p>
            <w:pPr>
              <w:widowControl/>
              <w:jc w:val="left"/>
              <w:outlineLvl w:val="1"/>
              <w:rPr>
                <w:rFonts w:ascii="??_GB2312" w:hAnsi="宋体" w:eastAsia="Times New Roman"/>
                <w:kern w:val="0"/>
                <w:sz w:val="32"/>
                <w:szCs w:val="32"/>
              </w:rPr>
            </w:pPr>
          </w:p>
        </w:tc>
        <w:tc>
          <w:tcPr>
            <w:tcW w:w="425" w:type="dxa"/>
          </w:tcPr>
          <w:p>
            <w:pPr>
              <w:widowControl/>
              <w:jc w:val="left"/>
              <w:outlineLvl w:val="1"/>
              <w:rPr>
                <w:rFonts w:ascii="??_GB2312" w:hAnsi="宋体" w:eastAsia="Times New Roman"/>
                <w:kern w:val="0"/>
                <w:sz w:val="32"/>
                <w:szCs w:val="32"/>
              </w:rPr>
            </w:pPr>
          </w:p>
        </w:tc>
        <w:tc>
          <w:tcPr>
            <w:tcW w:w="240" w:type="dxa"/>
            <w:gridSpan w:val="2"/>
          </w:tcPr>
          <w:p>
            <w:pPr>
              <w:widowControl/>
              <w:jc w:val="left"/>
              <w:outlineLvl w:val="1"/>
              <w:rPr>
                <w:rFonts w:ascii="??_GB2312" w:hAnsi="宋体" w:eastAsia="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41"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851"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1356" w:type="dxa"/>
            <w:vAlign w:val="center"/>
          </w:tcPr>
          <w:p>
            <w:pPr>
              <w:widowControl/>
              <w:jc w:val="center"/>
              <w:outlineLvl w:val="1"/>
              <w:rPr>
                <w:rFonts w:ascii="??_GB2312" w:hAnsi="宋体" w:eastAsia="Times New Roman"/>
                <w:kern w:val="0"/>
                <w:sz w:val="32"/>
                <w:szCs w:val="32"/>
              </w:rPr>
            </w:pPr>
            <w:r>
              <w:rPr>
                <w:rFonts w:ascii="??_GB2312" w:hAnsi="宋体" w:eastAsia="Times New Roman"/>
                <w:kern w:val="0"/>
                <w:szCs w:val="21"/>
              </w:rPr>
              <w:t>合计</w:t>
            </w:r>
          </w:p>
        </w:tc>
        <w:tc>
          <w:tcPr>
            <w:tcW w:w="750" w:type="dxa"/>
            <w:vAlign w:val="center"/>
          </w:tcPr>
          <w:p>
            <w:pPr>
              <w:widowControl/>
              <w:jc w:val="center"/>
              <w:outlineLvl w:val="1"/>
              <w:rPr>
                <w:rFonts w:ascii="??_GB2312" w:hAnsi="宋体" w:eastAsia="Times New Roman"/>
                <w:kern w:val="0"/>
                <w:szCs w:val="21"/>
              </w:rPr>
            </w:pPr>
          </w:p>
          <w:p>
            <w:pPr>
              <w:widowControl/>
              <w:jc w:val="center"/>
              <w:outlineLvl w:val="1"/>
              <w:rPr>
                <w:rFonts w:ascii="??_GB2312" w:hAnsi="宋体" w:eastAsia="Times New Roman"/>
                <w:kern w:val="0"/>
                <w:szCs w:val="21"/>
              </w:rPr>
            </w:pPr>
            <w:r>
              <w:rPr>
                <w:rFonts w:ascii="??_GB2312" w:hAnsi="宋体" w:eastAsia="Times New Roman"/>
                <w:kern w:val="0"/>
                <w:szCs w:val="21"/>
              </w:rPr>
              <w:t>44.92</w:t>
            </w:r>
          </w:p>
        </w:tc>
        <w:tc>
          <w:tcPr>
            <w:tcW w:w="522"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90" w:type="dxa"/>
          </w:tcPr>
          <w:p>
            <w:pPr>
              <w:widowControl/>
              <w:jc w:val="center"/>
              <w:outlineLvl w:val="1"/>
              <w:rPr>
                <w:rFonts w:ascii="??_GB2312" w:hAnsi="宋体" w:eastAsia="Times New Roman"/>
                <w:kern w:val="0"/>
                <w:szCs w:val="21"/>
              </w:rPr>
            </w:pPr>
          </w:p>
          <w:p>
            <w:pPr>
              <w:widowControl/>
              <w:jc w:val="center"/>
              <w:outlineLvl w:val="1"/>
              <w:rPr>
                <w:rFonts w:ascii="??_GB2312" w:hAnsi="宋体" w:eastAsia="Times New Roman"/>
                <w:kern w:val="0"/>
                <w:szCs w:val="21"/>
              </w:rPr>
            </w:pPr>
            <w:r>
              <w:rPr>
                <w:rFonts w:ascii="??_GB2312" w:hAnsi="宋体" w:eastAsia="Times New Roman"/>
                <w:kern w:val="0"/>
                <w:szCs w:val="21"/>
              </w:rPr>
              <w:t>19　</w:t>
            </w:r>
          </w:p>
        </w:tc>
        <w:tc>
          <w:tcPr>
            <w:tcW w:w="745" w:type="dxa"/>
          </w:tcPr>
          <w:p>
            <w:pPr>
              <w:widowControl/>
              <w:jc w:val="center"/>
              <w:outlineLvl w:val="1"/>
              <w:rPr>
                <w:rFonts w:ascii="??_GB2312" w:hAnsi="宋体" w:eastAsia="Times New Roman"/>
                <w:kern w:val="0"/>
                <w:szCs w:val="21"/>
              </w:rPr>
            </w:pPr>
            <w:r>
              <w:rPr>
                <w:rFonts w:ascii="??_GB2312" w:hAnsi="宋体" w:eastAsia="Times New Roman"/>
                <w:kern w:val="0"/>
                <w:szCs w:val="21"/>
              </w:rPr>
              <w:t>　25.92</w:t>
            </w:r>
          </w:p>
        </w:tc>
        <w:tc>
          <w:tcPr>
            <w:tcW w:w="6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780"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43"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567"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84"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425" w:type="dxa"/>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c>
          <w:tcPr>
            <w:tcW w:w="240" w:type="dxa"/>
            <w:gridSpan w:val="2"/>
          </w:tcPr>
          <w:p>
            <w:pPr>
              <w:widowControl/>
              <w:jc w:val="left"/>
              <w:outlineLvl w:val="1"/>
              <w:rPr>
                <w:rFonts w:ascii="??_GB2312" w:hAnsi="宋体" w:eastAsia="Times New Roman"/>
                <w:kern w:val="0"/>
                <w:sz w:val="32"/>
                <w:szCs w:val="32"/>
              </w:rPr>
            </w:pPr>
            <w:r>
              <w:rPr>
                <w:rFonts w:ascii="??_GB2312" w:hAnsi="宋体" w:eastAsia="Times New Roman"/>
                <w:kern w:val="0"/>
                <w:sz w:val="32"/>
                <w:szCs w:val="32"/>
              </w:rPr>
              <w:t>　</w:t>
            </w: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p>
    <w:p>
      <w:pPr>
        <w:widowControl/>
        <w:jc w:val="left"/>
        <w:outlineLvl w:val="1"/>
        <w:rPr>
          <w:rFonts w:ascii="??_GB2312" w:hAnsi="宋体" w:eastAsia="Times New Roman"/>
          <w:b/>
          <w:kern w:val="0"/>
          <w:sz w:val="32"/>
          <w:szCs w:val="32"/>
        </w:rPr>
      </w:pPr>
      <w:bookmarkStart w:id="0" w:name="_GoBack"/>
      <w:bookmarkEnd w:id="0"/>
      <w:r>
        <w:rPr>
          <w:rFonts w:ascii="??_GB2312" w:hAnsi="宋体" w:eastAsia="Times New Roman"/>
          <w:b/>
          <w:kern w:val="0"/>
          <w:sz w:val="32"/>
          <w:szCs w:val="32"/>
        </w:rPr>
        <w:t>表八：</w:t>
      </w:r>
    </w:p>
    <w:p>
      <w:pPr>
        <w:widowControl/>
        <w:jc w:val="left"/>
        <w:outlineLvl w:val="1"/>
        <w:rPr>
          <w:rFonts w:ascii="??_GB2312" w:hAnsi="宋体" w:eastAsia="Times New Roman"/>
          <w:b/>
          <w:kern w:val="0"/>
          <w:sz w:val="32"/>
          <w:szCs w:val="32"/>
        </w:rPr>
      </w:pPr>
    </w:p>
    <w:p>
      <w:pPr>
        <w:widowControl/>
        <w:jc w:val="center"/>
        <w:outlineLvl w:val="1"/>
        <w:rPr>
          <w:rFonts w:ascii="??_GB2312" w:hAnsi="宋体" w:eastAsia="Times New Roman"/>
          <w:b/>
          <w:kern w:val="0"/>
          <w:sz w:val="32"/>
          <w:szCs w:val="32"/>
        </w:rPr>
      </w:pPr>
      <w:r>
        <w:rPr>
          <w:rFonts w:ascii="??_GB2312" w:hAnsi="宋体" w:eastAsia="Times New Roman"/>
          <w:b/>
          <w:kern w:val="0"/>
          <w:sz w:val="32"/>
          <w:szCs w:val="32"/>
        </w:rPr>
        <w:t>一般公共预算“三公”经费支出情况表</w:t>
      </w:r>
    </w:p>
    <w:p>
      <w:pPr>
        <w:widowControl/>
        <w:jc w:val="left"/>
        <w:outlineLvl w:val="1"/>
        <w:rPr>
          <w:rFonts w:ascii="??_GB2312" w:hAnsi="宋体" w:eastAsia="Times New Roman"/>
          <w:kern w:val="0"/>
          <w:sz w:val="24"/>
        </w:rPr>
      </w:pPr>
      <w:r>
        <w:rPr>
          <w:rFonts w:ascii="??_GB2312" w:hAnsi="宋体" w:eastAsia="Times New Roman"/>
          <w:kern w:val="0"/>
          <w:sz w:val="24"/>
        </w:rPr>
        <w:t>编制单位：</w:t>
      </w:r>
      <w:r>
        <w:rPr>
          <w:rFonts w:hint="eastAsia" w:ascii="??_GB2312" w:hAnsi="宋体" w:cs="宋体"/>
          <w:color w:val="000000"/>
          <w:kern w:val="0"/>
          <w:sz w:val="24"/>
          <w:lang w:eastAsia="zh-CN"/>
        </w:rPr>
        <w:t>克孜勒苏柯尔克孜自治州林业工作管理站（林业技术推广站）</w:t>
      </w:r>
      <w:r>
        <w:rPr>
          <w:rFonts w:ascii="??_GB2312" w:hAnsi="宋体" w:eastAsia="Times New Roman"/>
          <w:kern w:val="0"/>
          <w:sz w:val="24"/>
        </w:rPr>
        <w:t xml:space="preserve"> 单位：万元                           </w:t>
      </w:r>
    </w:p>
    <w:tbl>
      <w:tblPr>
        <w:tblStyle w:val="7"/>
        <w:tblW w:w="9087" w:type="dxa"/>
        <w:tblInd w:w="93" w:type="dxa"/>
        <w:tblLayout w:type="fixed"/>
        <w:tblCellMar>
          <w:top w:w="0" w:type="dxa"/>
          <w:left w:w="108" w:type="dxa"/>
          <w:bottom w:w="0" w:type="dxa"/>
          <w:right w:w="108" w:type="dxa"/>
        </w:tblCellMar>
      </w:tblPr>
      <w:tblGrid>
        <w:gridCol w:w="1575"/>
        <w:gridCol w:w="1417"/>
        <w:gridCol w:w="1559"/>
        <w:gridCol w:w="1418"/>
        <w:gridCol w:w="1559"/>
        <w:gridCol w:w="1559"/>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公务用车购置及运行费</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_GB2312" w:hAnsi="宋体" w:eastAsia="Times New Roman"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_GB2312" w:hAnsi="宋体" w:eastAsia="Times New Roman" w:cs="宋体"/>
                <w:b/>
                <w:bCs/>
                <w:color w:val="000000"/>
                <w:kern w:val="0"/>
                <w:sz w:val="22"/>
                <w:szCs w:val="22"/>
              </w:rPr>
            </w:pP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2"/>
                <w:szCs w:val="22"/>
              </w:rPr>
            </w:pPr>
            <w:r>
              <w:rPr>
                <w:rFonts w:ascii="??_GB2312" w:hAnsi="宋体" w:eastAsia="Times New Roman" w:cs="宋体"/>
                <w:b/>
                <w:bCs/>
                <w:color w:val="000000"/>
                <w:kern w:val="0"/>
                <w:sz w:val="22"/>
                <w:szCs w:val="22"/>
              </w:rPr>
              <w:t>公务用车运行费</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5.7</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_GB2312" w:hAnsi="宋体" w:eastAsia="Times New Roman"/>
          <w:b/>
          <w:kern w:val="0"/>
          <w:sz w:val="32"/>
          <w:szCs w:val="32"/>
        </w:rPr>
      </w:pPr>
      <w:r>
        <w:rPr>
          <w:rFonts w:ascii="??_GB2312" w:hAnsi="宋体" w:eastAsia="Times New Roman"/>
          <w:b/>
          <w:kern w:val="0"/>
          <w:sz w:val="28"/>
          <w:szCs w:val="32"/>
        </w:rPr>
        <w:t>备注：无内容应公开空表并说明情况。</w:t>
      </w:r>
    </w:p>
    <w:p>
      <w:pPr>
        <w:widowControl/>
        <w:outlineLvl w:val="1"/>
        <w:rPr>
          <w:rFonts w:ascii="??_GB2312" w:hAnsi="宋体" w:eastAsia="Times New Roman"/>
          <w:kern w:val="0"/>
          <w:sz w:val="32"/>
          <w:szCs w:val="32"/>
        </w:rPr>
      </w:pPr>
    </w:p>
    <w:p>
      <w:pPr>
        <w:widowControl/>
        <w:outlineLvl w:val="1"/>
        <w:rPr>
          <w:rFonts w:ascii="??_GB2312" w:hAnsi="宋体" w:eastAsia="Times New Roman"/>
          <w:kern w:val="0"/>
          <w:sz w:val="32"/>
          <w:szCs w:val="32"/>
        </w:rPr>
      </w:pPr>
    </w:p>
    <w:p>
      <w:pPr>
        <w:widowControl/>
        <w:jc w:val="left"/>
        <w:outlineLvl w:val="1"/>
        <w:rPr>
          <w:rFonts w:ascii="??_GB2312" w:hAnsi="宋体" w:eastAsia="Times New Roman"/>
          <w:b/>
          <w:kern w:val="0"/>
          <w:sz w:val="32"/>
          <w:szCs w:val="32"/>
        </w:rPr>
      </w:pPr>
      <w:r>
        <w:rPr>
          <w:rFonts w:ascii="??_GB2312" w:hAnsi="宋体" w:eastAsia="Times New Roman"/>
          <w:b/>
          <w:kern w:val="0"/>
          <w:sz w:val="32"/>
          <w:szCs w:val="32"/>
        </w:rPr>
        <w:t>表九：</w:t>
      </w:r>
    </w:p>
    <w:p>
      <w:pPr>
        <w:widowControl/>
        <w:jc w:val="center"/>
        <w:outlineLvl w:val="1"/>
        <w:rPr>
          <w:rFonts w:ascii="??_GB2312" w:hAnsi="宋体" w:eastAsia="Times New Roman"/>
          <w:b/>
          <w:kern w:val="0"/>
          <w:sz w:val="32"/>
          <w:szCs w:val="32"/>
        </w:rPr>
      </w:pPr>
      <w:r>
        <w:rPr>
          <w:rFonts w:ascii="??_GB2312" w:hAnsi="宋体" w:eastAsia="Times New Roman"/>
          <w:b/>
          <w:kern w:val="0"/>
          <w:sz w:val="32"/>
          <w:szCs w:val="32"/>
        </w:rPr>
        <w:t>政府性基金预算支出情况表</w:t>
      </w:r>
    </w:p>
    <w:p>
      <w:pPr>
        <w:widowControl/>
        <w:outlineLvl w:val="1"/>
        <w:rPr>
          <w:rFonts w:ascii="??_GB2312" w:hAnsi="宋体" w:eastAsia="Times New Roman"/>
          <w:kern w:val="0"/>
          <w:sz w:val="24"/>
        </w:rPr>
      </w:pPr>
      <w:r>
        <w:rPr>
          <w:rFonts w:ascii="??_GB2312" w:hAnsi="宋体" w:eastAsia="Times New Roman"/>
          <w:kern w:val="0"/>
          <w:sz w:val="24"/>
        </w:rPr>
        <w:t>编制单位：</w:t>
      </w:r>
      <w:r>
        <w:rPr>
          <w:rFonts w:hint="eastAsia" w:ascii="??_GB2312" w:hAnsi="宋体" w:cs="宋体"/>
          <w:color w:val="000000"/>
          <w:kern w:val="0"/>
          <w:sz w:val="24"/>
          <w:lang w:eastAsia="zh-CN"/>
        </w:rPr>
        <w:t>克孜勒苏柯尔克孜自治州林业工作管理站（林业技术推广站）</w:t>
      </w:r>
      <w:r>
        <w:rPr>
          <w:rFonts w:ascii="??_GB2312" w:hAnsi="宋体" w:eastAsia="Times New Roman"/>
          <w:kern w:val="0"/>
          <w:sz w:val="24"/>
        </w:rPr>
        <w:t xml:space="preserve"> 单位：万元                                                </w:t>
      </w:r>
    </w:p>
    <w:tbl>
      <w:tblPr>
        <w:tblStyle w:val="7"/>
        <w:tblW w:w="9087" w:type="dxa"/>
        <w:tblInd w:w="93" w:type="dxa"/>
        <w:tblLayout w:type="fixed"/>
        <w:tblCellMar>
          <w:top w:w="0" w:type="dxa"/>
          <w:left w:w="108" w:type="dxa"/>
          <w:bottom w:w="0" w:type="dxa"/>
          <w:right w:w="108" w:type="dxa"/>
        </w:tblCellMar>
      </w:tblPr>
      <w:tblGrid>
        <w:gridCol w:w="458"/>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18"/>
                <w:szCs w:val="18"/>
              </w:rPr>
            </w:pPr>
            <w:r>
              <w:rPr>
                <w:rFonts w:ascii="??_GB2312" w:hAnsi="宋体" w:eastAsia="Times New Roman"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款</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24"/>
              </w:rPr>
            </w:pPr>
            <w:r>
              <w:rPr>
                <w:rFonts w:ascii="??_GB2312" w:hAnsi="宋体" w:eastAsia="Times New Roman"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_GB2312" w:hAnsi="宋体" w:eastAsia="Times New Roman" w:cs="宋体"/>
                <w:b/>
                <w:bCs/>
                <w:color w:val="000000"/>
                <w:kern w:val="0"/>
                <w:sz w:val="24"/>
              </w:rPr>
            </w:pP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b/>
                <w:bCs/>
                <w:color w:val="000000"/>
                <w:kern w:val="0"/>
                <w:sz w:val="32"/>
                <w:szCs w:val="32"/>
              </w:rPr>
            </w:pPr>
            <w:r>
              <w:rPr>
                <w:rFonts w:ascii="??_GB2312" w:hAnsi="宋体" w:eastAsia="Times New Roman"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jc w:val="left"/>
              <w:rPr>
                <w:rFonts w:ascii="??_GB2312" w:hAnsi="宋体" w:eastAsia="Times New Roman" w:cs="宋体"/>
                <w:color w:val="000000"/>
                <w:kern w:val="0"/>
                <w:sz w:val="24"/>
              </w:rPr>
            </w:pPr>
            <w:r>
              <w:rPr>
                <w:rFonts w:ascii="??_GB2312" w:hAnsi="宋体" w:eastAsia="Times New Roman" w:cs="宋体"/>
                <w:color w:val="000000"/>
                <w:kern w:val="0"/>
                <w:sz w:val="24"/>
              </w:rPr>
              <w:t>　</w:t>
            </w:r>
          </w:p>
        </w:tc>
        <w:tc>
          <w:tcPr>
            <w:tcW w:w="2896" w:type="dxa"/>
            <w:tcBorders>
              <w:top w:val="nil"/>
              <w:left w:val="nil"/>
              <w:bottom w:val="single" w:color="auto" w:sz="4" w:space="0"/>
              <w:right w:val="single" w:color="auto" w:sz="4" w:space="0"/>
            </w:tcBorders>
            <w:vAlign w:val="center"/>
          </w:tcPr>
          <w:p>
            <w:pPr>
              <w:widowControl/>
              <w:jc w:val="center"/>
              <w:rPr>
                <w:rFonts w:ascii="??_GB2312" w:hAnsi="宋体" w:eastAsia="Times New Roman" w:cs="宋体"/>
                <w:color w:val="000000"/>
                <w:kern w:val="0"/>
                <w:sz w:val="24"/>
              </w:rPr>
            </w:pPr>
            <w:r>
              <w:rPr>
                <w:rFonts w:ascii="??_GB2312" w:hAnsi="宋体" w:eastAsia="Times New Roman" w:cs="宋体"/>
                <w:color w:val="000000"/>
                <w:kern w:val="0"/>
                <w:sz w:val="24"/>
              </w:rPr>
              <w:t>合计</w:t>
            </w:r>
          </w:p>
        </w:tc>
        <w:tc>
          <w:tcPr>
            <w:tcW w:w="1559" w:type="dxa"/>
            <w:tcBorders>
              <w:top w:val="nil"/>
              <w:left w:val="nil"/>
              <w:bottom w:val="single" w:color="auto" w:sz="4" w:space="0"/>
              <w:right w:val="single" w:color="auto" w:sz="4" w:space="0"/>
            </w:tcBorders>
            <w:vAlign w:val="center"/>
          </w:tcPr>
          <w:p>
            <w:pPr>
              <w:widowControl/>
              <w:jc w:val="right"/>
              <w:rPr>
                <w:rFonts w:ascii="??_GB2312" w:hAnsi="宋体" w:eastAsia="Times New Roman" w:cs="宋体"/>
                <w:color w:val="000000"/>
                <w:kern w:val="0"/>
                <w:sz w:val="24"/>
              </w:rPr>
            </w:pPr>
            <w:r>
              <w:rPr>
                <w:rFonts w:ascii="??_GB2312" w:hAnsi="宋体" w:eastAsia="Times New Roman"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jc w:val="right"/>
              <w:rPr>
                <w:rFonts w:ascii="??_GB2312" w:hAnsi="宋体" w:eastAsia="Times New Roman" w:cs="宋体"/>
                <w:color w:val="000000"/>
                <w:kern w:val="0"/>
                <w:sz w:val="24"/>
              </w:rPr>
            </w:pPr>
            <w:r>
              <w:rPr>
                <w:rFonts w:ascii="??_GB2312" w:hAnsi="宋体" w:eastAsia="Times New Roman"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right"/>
              <w:rPr>
                <w:rFonts w:ascii="??_GB2312" w:hAnsi="宋体" w:eastAsia="Times New Roman" w:cs="宋体"/>
                <w:color w:val="000000"/>
                <w:kern w:val="0"/>
                <w:sz w:val="24"/>
              </w:rPr>
            </w:pPr>
            <w:r>
              <w:rPr>
                <w:rFonts w:ascii="??_GB2312" w:hAnsi="宋体" w:eastAsia="Times New Roman" w:cs="宋体"/>
                <w:color w:val="000000"/>
                <w:kern w:val="0"/>
                <w:sz w:val="24"/>
              </w:rPr>
              <w:t>　</w:t>
            </w:r>
          </w:p>
        </w:tc>
      </w:tr>
    </w:tbl>
    <w:p>
      <w:pPr>
        <w:widowControl/>
        <w:outlineLvl w:val="1"/>
        <w:rPr>
          <w:rFonts w:ascii="??_GB2312" w:hAnsi="宋体" w:eastAsia="Times New Roman"/>
          <w:b/>
          <w:kern w:val="0"/>
          <w:sz w:val="28"/>
          <w:szCs w:val="32"/>
        </w:rPr>
      </w:pPr>
      <w:r>
        <w:rPr>
          <w:rFonts w:ascii="??_GB2312" w:hAnsi="宋体" w:eastAsia="Times New Roman"/>
          <w:b/>
          <w:kern w:val="0"/>
          <w:sz w:val="28"/>
          <w:szCs w:val="32"/>
        </w:rPr>
        <w:t>备注：无内容应公开空表并说明情况。</w:t>
      </w:r>
    </w:p>
    <w:p>
      <w:pPr>
        <w:widowControl/>
        <w:jc w:val="left"/>
        <w:outlineLvl w:val="1"/>
        <w:rPr>
          <w:rFonts w:ascii="??_GB2312" w:hAnsi="宋体" w:eastAsia="Times New Roman"/>
          <w:kern w:val="0"/>
          <w:sz w:val="32"/>
          <w:szCs w:val="32"/>
        </w:rPr>
        <w:sectPr>
          <w:footerReference r:id="rId5" w:type="default"/>
          <w:pgSz w:w="11906" w:h="16838"/>
          <w:pgMar w:top="2098" w:right="1418" w:bottom="1928" w:left="1588" w:header="851" w:footer="992" w:gutter="0"/>
          <w:pgNumType w:fmt="numberInDash" w:start="2"/>
          <w:cols w:space="720" w:num="1"/>
          <w:docGrid w:linePitch="312" w:charSpace="0"/>
        </w:sectPr>
      </w:pPr>
    </w:p>
    <w:p>
      <w:pPr>
        <w:widowControl/>
        <w:spacing w:beforeLines="50" w:line="500" w:lineRule="exact"/>
        <w:jc w:val="center"/>
        <w:outlineLvl w:val="1"/>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2019</w:t>
      </w:r>
      <w:r>
        <w:rPr>
          <w:rFonts w:hint="eastAsia" w:ascii="黑体" w:hAnsi="黑体" w:eastAsia="黑体"/>
          <w:kern w:val="0"/>
          <w:sz w:val="32"/>
          <w:szCs w:val="32"/>
        </w:rPr>
        <w:t>年部门预算情况说明</w:t>
      </w:r>
    </w:p>
    <w:p>
      <w:pPr>
        <w:widowControl/>
        <w:spacing w:line="500" w:lineRule="exact"/>
        <w:ind w:firstLine="640"/>
        <w:jc w:val="left"/>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年收支预算情况的总体说明</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按照全口径预算的原则，</w:t>
      </w: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部门2019年所有收入和支出均纳入部门预算管理。收支总预算384.8万元。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收入预算包括：一般公共预算（财政拨款收入）355.27万元、上级补助收入5万元、单位上年结余24.53万元（不包括国库集中支付额度结余）等。</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支出预算包括：科学技术支出8.83万元、农林水支出375.97万元等。</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年收入预算情况说明</w:t>
      </w:r>
    </w:p>
    <w:p>
      <w:pPr>
        <w:widowControl/>
        <w:spacing w:line="500" w:lineRule="exact"/>
        <w:ind w:firstLine="64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部门收入预算384.8万元，其中：</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 xml:space="preserve">一般公共预算355.27万元，占92.3 %，比上年增加19.96万元，主要原因是今年单位增加人员工资也增加项目；    </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政府性基金预算未安排。或0万元，占0%，比上年增加（减少）0万元，主要原因是政府性基金预算未安排；</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上级补助收入资金5万元，占1.3 %，比上年增加（减少）0万元，主要原因是未安排预算；</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其他收入0万元，占0</w:t>
      </w:r>
      <w:r>
        <w:t xml:space="preserve"> </w:t>
      </w:r>
      <w:r>
        <w:rPr>
          <w:rFonts w:ascii="??_GB2312" w:hAnsi="宋体" w:eastAsia="Times New Roman" w:cs="宋体"/>
          <w:kern w:val="0"/>
          <w:sz w:val="32"/>
          <w:szCs w:val="32"/>
        </w:rPr>
        <w:t>%，比上年减少92.7万元，主要原因是2019年未安排预算 ；</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单位上年结余（不包括国库集中支付额度结余）24.53万元，占6.4%，比上年增加4.53万元，主要原因是今年增加了项目。</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部门单位</w:t>
      </w:r>
      <w:r>
        <w:rPr>
          <w:rFonts w:ascii="黑体" w:hAnsi="宋体" w:eastAsia="黑体" w:cs="宋体"/>
          <w:kern w:val="0"/>
          <w:sz w:val="32"/>
          <w:szCs w:val="32"/>
        </w:rPr>
        <w:t>2019</w:t>
      </w:r>
      <w:r>
        <w:rPr>
          <w:rFonts w:hint="eastAsia" w:ascii="黑体" w:hAnsi="宋体" w:eastAsia="黑体" w:cs="宋体"/>
          <w:kern w:val="0"/>
          <w:sz w:val="32"/>
          <w:szCs w:val="32"/>
        </w:rPr>
        <w:t>年支出预算情况说明</w:t>
      </w:r>
    </w:p>
    <w:p>
      <w:pPr>
        <w:widowControl/>
        <w:spacing w:line="500" w:lineRule="exact"/>
        <w:ind w:firstLine="64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部门单位2019年支出预算384.8万元，其中：</w:t>
      </w:r>
    </w:p>
    <w:p>
      <w:pPr>
        <w:widowControl/>
        <w:spacing w:line="500" w:lineRule="exact"/>
        <w:ind w:firstLine="640"/>
        <w:jc w:val="left"/>
        <w:rPr>
          <w:rFonts w:ascii="??_GB2312" w:hAnsi="宋体" w:eastAsia="Times New Roman" w:cs="宋体"/>
          <w:b/>
          <w:kern w:val="0"/>
          <w:sz w:val="32"/>
          <w:szCs w:val="32"/>
        </w:rPr>
      </w:pPr>
      <w:r>
        <w:rPr>
          <w:rFonts w:ascii="??_GB2312" w:hAnsi="宋体" w:eastAsia="Times New Roman" w:cs="宋体"/>
          <w:kern w:val="0"/>
          <w:sz w:val="32"/>
          <w:szCs w:val="32"/>
        </w:rPr>
        <w:t>基本支出318.6万元，占82.80%，比上年减少90.81万元，主要原因是2019年比去年减少办公设备购置经费也减少群众工作需要的设备等。</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项目支出66.2万元，占17.2%，比上年增加22.6万元，主要原因是增加了项目（群众工作经费）。</w:t>
      </w:r>
    </w:p>
    <w:p>
      <w:pPr>
        <w:widowControl/>
        <w:spacing w:line="500" w:lineRule="exact"/>
        <w:ind w:firstLine="640"/>
        <w:jc w:val="left"/>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克孜勒苏柯尔克孜自治州林业工作管理站（林业技术推广站）</w:t>
      </w:r>
      <w:r>
        <w:rPr>
          <w:rFonts w:hint="eastAsia" w:ascii="黑体" w:hAnsi="黑体" w:eastAsia="黑体" w:cs="宋体"/>
          <w:bCs/>
          <w:kern w:val="0"/>
          <w:sz w:val="32"/>
          <w:szCs w:val="32"/>
        </w:rPr>
        <w:t>部门</w:t>
      </w:r>
      <w:r>
        <w:rPr>
          <w:rFonts w:ascii="黑体" w:hAnsi="黑体" w:eastAsia="黑体" w:cs="宋体"/>
          <w:bCs/>
          <w:kern w:val="0"/>
          <w:sz w:val="32"/>
          <w:szCs w:val="32"/>
        </w:rPr>
        <w:t>2019</w:t>
      </w:r>
      <w:r>
        <w:rPr>
          <w:rFonts w:hint="eastAsia" w:ascii="黑体" w:hAnsi="黑体" w:eastAsia="黑体" w:cs="宋体"/>
          <w:bCs/>
          <w:kern w:val="0"/>
          <w:sz w:val="32"/>
          <w:szCs w:val="32"/>
        </w:rPr>
        <w:t>年财政拨款收支预算情况的总体说明</w:t>
      </w:r>
    </w:p>
    <w:p>
      <w:pPr>
        <w:spacing w:line="500" w:lineRule="exact"/>
        <w:ind w:firstLine="640"/>
        <w:rPr>
          <w:rFonts w:ascii="??_GB2312" w:hAnsi="宋体" w:eastAsia="Times New Roman" w:cs="宋体"/>
          <w:kern w:val="0"/>
          <w:sz w:val="32"/>
          <w:szCs w:val="32"/>
        </w:rPr>
      </w:pPr>
      <w:r>
        <w:rPr>
          <w:rFonts w:ascii="??_GB2312" w:hAnsi="宋体" w:eastAsia="Times New Roman" w:cs="宋体"/>
          <w:kern w:val="0"/>
          <w:sz w:val="32"/>
          <w:szCs w:val="32"/>
        </w:rPr>
        <w:t>2019年财政拨款收支总预算355.27万元。</w:t>
      </w:r>
    </w:p>
    <w:p>
      <w:pPr>
        <w:spacing w:line="500" w:lineRule="exact"/>
        <w:ind w:firstLine="642"/>
        <w:rPr>
          <w:rFonts w:ascii="??_GB2312" w:hAnsi="宋体" w:eastAsia="Times New Roman" w:cs="宋体"/>
          <w:spacing w:val="-4"/>
          <w:kern w:val="0"/>
          <w:sz w:val="32"/>
          <w:szCs w:val="32"/>
        </w:rPr>
      </w:pPr>
      <w:r>
        <w:rPr>
          <w:rFonts w:ascii="??_GB2312" w:hAnsi="宋体" w:eastAsia="Times New Roman" w:cs="宋体"/>
          <w:b/>
          <w:spacing w:val="-4"/>
          <w:kern w:val="0"/>
          <w:sz w:val="32"/>
          <w:szCs w:val="32"/>
        </w:rPr>
        <w:t>情况一：无政府性基金预算拨款的部门单位按以下格式填写。</w:t>
      </w:r>
    </w:p>
    <w:p>
      <w:pPr>
        <w:spacing w:line="500" w:lineRule="exact"/>
        <w:ind w:firstLine="640"/>
        <w:rPr>
          <w:rFonts w:ascii="??_GB2312" w:hAnsi="宋体" w:eastAsia="Times New Roman" w:cs="宋体"/>
          <w:kern w:val="0"/>
          <w:sz w:val="32"/>
          <w:szCs w:val="32"/>
        </w:rPr>
      </w:pPr>
      <w:r>
        <w:rPr>
          <w:rFonts w:ascii="??_GB2312" w:hAnsi="宋体" w:eastAsia="Times New Roman" w:cs="宋体"/>
          <w:kern w:val="0"/>
          <w:sz w:val="32"/>
          <w:szCs w:val="32"/>
        </w:rPr>
        <w:t>收入全部为一般公共预算拨款，无政府性基金预算拨款。</w:t>
      </w:r>
    </w:p>
    <w:p>
      <w:pPr>
        <w:spacing w:line="500" w:lineRule="exact"/>
        <w:ind w:firstLine="640"/>
        <w:rPr>
          <w:rFonts w:ascii="??_GB2312" w:hAnsi="宋体" w:eastAsia="Times New Roman" w:cs="宋体"/>
          <w:kern w:val="0"/>
          <w:sz w:val="32"/>
          <w:szCs w:val="32"/>
        </w:rPr>
      </w:pPr>
      <w:r>
        <w:rPr>
          <w:rFonts w:ascii="??_GB2312" w:hAnsi="宋体" w:eastAsia="Times New Roman" w:cs="宋体"/>
          <w:kern w:val="0"/>
          <w:sz w:val="32"/>
          <w:szCs w:val="32"/>
        </w:rPr>
        <w:t>支出预算包括：一般公共预算农林水支出355.27万元，主要用于支付职工工资、津贴补贴、社会保障缴费和住房公积金及公用经费。</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年一般公共预算当年拨款情况说明</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00" w:lineRule="exact"/>
        <w:ind w:firstLine="64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 xml:space="preserve">部门2019年一般公共预算拨款基本支出310.35万元，比上年执行数增加79.92万元，增长20.5 %。主要原因是：今年单位职工增人员工资。     </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00" w:lineRule="exact"/>
        <w:ind w:firstLine="960" w:firstLineChars="300"/>
        <w:rPr>
          <w:rFonts w:ascii="??_GB2312" w:hAnsi="宋体" w:eastAsia="Times New Roman" w:cs="宋体"/>
          <w:kern w:val="0"/>
          <w:sz w:val="32"/>
          <w:szCs w:val="32"/>
        </w:rPr>
      </w:pPr>
      <w:r>
        <w:rPr>
          <w:rFonts w:ascii="??_GB2312" w:eastAsia="Times New Roman"/>
          <w:sz w:val="32"/>
          <w:szCs w:val="32"/>
        </w:rPr>
        <w:t>一般公共预算</w:t>
      </w:r>
      <w:r>
        <w:rPr>
          <w:rFonts w:ascii="??_GB2312" w:hAnsi="宋体" w:eastAsia="Times New Roman" w:cs="宋体"/>
          <w:kern w:val="0"/>
          <w:sz w:val="32"/>
          <w:szCs w:val="32"/>
        </w:rPr>
        <w:t>农林水</w:t>
      </w:r>
      <w:r>
        <w:rPr>
          <w:rFonts w:ascii="??_GB2312" w:eastAsia="Times New Roman"/>
          <w:sz w:val="32"/>
          <w:szCs w:val="32"/>
        </w:rPr>
        <w:t>（213）</w:t>
      </w:r>
      <w:r>
        <w:rPr>
          <w:rFonts w:ascii="楷体_GB2312" w:eastAsia="楷体_GB2312"/>
          <w:b/>
          <w:sz w:val="32"/>
          <w:szCs w:val="32"/>
        </w:rPr>
        <w:t>355.27</w:t>
      </w:r>
      <w:r>
        <w:rPr>
          <w:rFonts w:ascii="??_GB2312" w:hAnsi="宋体" w:eastAsia="Times New Roman" w:cs="宋体"/>
          <w:kern w:val="0"/>
          <w:sz w:val="32"/>
          <w:szCs w:val="32"/>
        </w:rPr>
        <w:t>万元，占92.4%。</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 xml:space="preserve">一般公共预算农林水（213）财政事务（02）事业运行（04）:2019年预算数为355.27万元，比上年执行数增加19.96万元，增长6%，主要原因是：人员工资增加。     </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年一般公共预算基本支出情况说明</w:t>
      </w:r>
    </w:p>
    <w:p>
      <w:pPr>
        <w:widowControl/>
        <w:spacing w:line="500" w:lineRule="exact"/>
        <w:ind w:firstLine="64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部门2019年一般公共预算基本支出310.35万元， 其中：</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人员经费300万元，主要包括：基本工资89.43万元、津贴补贴118.19万元、奖金7.45万元、机关事业单位基本养老保险缴费37.22万元、职工基本医疗保险缴费15.99万元、住房公积金21.83万元、退休费7.96万元、生活补助1.33万元、奖励金0.6万元等。</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公用经费10.35万元，主要包括：办公费1.28万元、邮电费1.44万元、差旅费0.3万元、工会经费1.3万元、福利费2.33万元、公务用车运行维护费3.7万元等。</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年项目支出情况说明</w:t>
      </w:r>
    </w:p>
    <w:p>
      <w:pPr>
        <w:widowControl/>
        <w:spacing w:line="500" w:lineRule="exact"/>
        <w:ind w:firstLine="642"/>
        <w:jc w:val="left"/>
        <w:rPr>
          <w:rFonts w:ascii="??_GB2312" w:hAnsi="黑体" w:eastAsia="Times New Roman"/>
          <w:b/>
          <w:sz w:val="32"/>
          <w:szCs w:val="32"/>
        </w:rPr>
      </w:pPr>
      <w:r>
        <w:rPr>
          <w:rFonts w:ascii="??_GB2312" w:hAnsi="黑体" w:eastAsia="Times New Roman"/>
          <w:b/>
          <w:sz w:val="32"/>
          <w:szCs w:val="32"/>
        </w:rPr>
        <w:t>情况一：项目支出</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项目名称：</w:t>
      </w:r>
      <w:r>
        <w:rPr>
          <w:rFonts w:ascii="??_GB2312" w:hAnsi="宋体" w:eastAsia="Times New Roman" w:cs="宋体"/>
          <w:kern w:val="0"/>
          <w:sz w:val="32"/>
          <w:szCs w:val="32"/>
        </w:rPr>
        <w:t>北山病虫害防治项目</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设立的政策依据：</w:t>
      </w:r>
      <w:r>
        <w:rPr>
          <w:rFonts w:ascii="??_GB2312" w:hAnsi="宋体" w:eastAsia="Times New Roman" w:cs="宋体"/>
          <w:kern w:val="0"/>
          <w:sz w:val="32"/>
          <w:szCs w:val="32"/>
        </w:rPr>
        <w:t>按政府安排</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预算安排规模：</w:t>
      </w:r>
      <w:r>
        <w:rPr>
          <w:rFonts w:ascii="??_GB2312" w:hAnsi="宋体" w:eastAsia="Times New Roman" w:cs="宋体"/>
          <w:kern w:val="0"/>
          <w:sz w:val="32"/>
          <w:szCs w:val="32"/>
        </w:rPr>
        <w:t>5万元</w:t>
      </w:r>
    </w:p>
    <w:p>
      <w:pPr>
        <w:widowControl/>
        <w:spacing w:line="500" w:lineRule="exact"/>
        <w:ind w:firstLine="640"/>
        <w:jc w:val="left"/>
        <w:rPr>
          <w:rFonts w:hint="eastAsia" w:ascii="??_GB2312" w:hAnsi="黑体" w:eastAsia="宋体"/>
          <w:sz w:val="32"/>
          <w:szCs w:val="32"/>
          <w:lang w:eastAsia="zh-CN"/>
        </w:rPr>
      </w:pPr>
      <w:r>
        <w:rPr>
          <w:rFonts w:ascii="??_GB2312" w:hAnsi="黑体" w:eastAsia="Times New Roman"/>
          <w:sz w:val="32"/>
          <w:szCs w:val="32"/>
        </w:rPr>
        <w:t>项目承担单位：</w:t>
      </w:r>
      <w:r>
        <w:rPr>
          <w:rFonts w:hint="eastAsia" w:ascii="??_GB2312" w:hAnsi="宋体" w:cs="宋体"/>
          <w:kern w:val="0"/>
          <w:sz w:val="32"/>
          <w:szCs w:val="32"/>
          <w:lang w:eastAsia="zh-CN"/>
        </w:rPr>
        <w:t>克孜勒苏柯尔克孜自治州林业工作管理站（林业技术推广站）</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资金分配情况：</w:t>
      </w:r>
      <w:r>
        <w:rPr>
          <w:rFonts w:ascii="??_GB2312" w:hAnsi="宋体" w:eastAsia="Times New Roman" w:cs="宋体"/>
          <w:kern w:val="0"/>
          <w:sz w:val="32"/>
          <w:szCs w:val="32"/>
        </w:rPr>
        <w:t>森林抚育、劳务费、电费、专用材料等方面</w:t>
      </w:r>
    </w:p>
    <w:p>
      <w:pPr>
        <w:widowControl/>
        <w:spacing w:line="500" w:lineRule="exact"/>
        <w:ind w:firstLine="640"/>
        <w:jc w:val="left"/>
        <w:rPr>
          <w:rFonts w:ascii="??_GB2312" w:hAnsi="宋体" w:eastAsia="Times New Roman" w:cs="宋体"/>
          <w:kern w:val="0"/>
          <w:sz w:val="32"/>
          <w:szCs w:val="32"/>
        </w:rPr>
      </w:pPr>
      <w:r>
        <w:rPr>
          <w:rFonts w:ascii="??_GB2312" w:hAnsi="黑体" w:eastAsia="Times New Roman"/>
          <w:sz w:val="32"/>
          <w:szCs w:val="32"/>
        </w:rPr>
        <w:t>资金执行时间：</w:t>
      </w:r>
      <w:r>
        <w:rPr>
          <w:rFonts w:ascii="??_GB2312" w:hAnsi="宋体" w:eastAsia="Times New Roman" w:cs="宋体"/>
          <w:kern w:val="0"/>
          <w:sz w:val="32"/>
          <w:szCs w:val="32"/>
        </w:rPr>
        <w:t>2019年1月</w:t>
      </w:r>
    </w:p>
    <w:p>
      <w:pPr>
        <w:spacing w:line="500" w:lineRule="exact"/>
        <w:ind w:firstLine="642"/>
        <w:rPr>
          <w:rFonts w:ascii="??_GB2312" w:hAnsi="黑体" w:eastAsia="Times New Roman"/>
          <w:b/>
          <w:sz w:val="32"/>
          <w:szCs w:val="32"/>
        </w:rPr>
      </w:pPr>
      <w:r>
        <w:rPr>
          <w:rFonts w:ascii="??_GB2312" w:hAnsi="黑体" w:eastAsia="Times New Roman"/>
          <w:b/>
          <w:sz w:val="32"/>
          <w:szCs w:val="32"/>
        </w:rPr>
        <w:t>情况二：</w:t>
      </w:r>
      <w:r>
        <w:rPr>
          <w:rFonts w:ascii="??_GB2312" w:hAnsi="宋体" w:eastAsia="Times New Roman"/>
          <w:b/>
          <w:spacing w:val="-8"/>
          <w:sz w:val="32"/>
          <w:szCs w:val="22"/>
        </w:rPr>
        <w:t>对个人补贴的项目支出</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项目名称：</w:t>
      </w:r>
      <w:r>
        <w:rPr>
          <w:rFonts w:ascii="??_GB2312" w:hAnsi="宋体" w:eastAsia="Times New Roman" w:cs="宋体"/>
          <w:kern w:val="0"/>
          <w:sz w:val="32"/>
          <w:szCs w:val="32"/>
        </w:rPr>
        <w:t>群众工作人员补助</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设立的政策依据：</w:t>
      </w:r>
      <w:r>
        <w:rPr>
          <w:rFonts w:ascii="??_GB2312" w:hAnsi="宋体" w:eastAsia="Times New Roman" w:cs="宋体"/>
          <w:kern w:val="0"/>
          <w:sz w:val="32"/>
          <w:szCs w:val="32"/>
        </w:rPr>
        <w:t>根据州财政2019年预算编制内容</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预算安排规模：</w:t>
      </w:r>
      <w:r>
        <w:rPr>
          <w:rFonts w:ascii="??_GB2312" w:hAnsi="宋体" w:eastAsia="Times New Roman" w:cs="宋体"/>
          <w:kern w:val="0"/>
          <w:sz w:val="32"/>
          <w:szCs w:val="32"/>
        </w:rPr>
        <w:t>25.92万元</w:t>
      </w:r>
    </w:p>
    <w:p>
      <w:pPr>
        <w:widowControl/>
        <w:spacing w:line="500" w:lineRule="exact"/>
        <w:ind w:firstLine="640"/>
        <w:jc w:val="left"/>
        <w:rPr>
          <w:rFonts w:hint="eastAsia" w:ascii="??_GB2312" w:hAnsi="黑体" w:eastAsia="宋体"/>
          <w:sz w:val="32"/>
          <w:szCs w:val="32"/>
          <w:lang w:eastAsia="zh-CN"/>
        </w:rPr>
      </w:pPr>
      <w:r>
        <w:rPr>
          <w:rFonts w:ascii="??_GB2312" w:hAnsi="黑体" w:eastAsia="Times New Roman"/>
          <w:sz w:val="32"/>
          <w:szCs w:val="32"/>
        </w:rPr>
        <w:t>项目承担单位：</w:t>
      </w:r>
      <w:r>
        <w:rPr>
          <w:rFonts w:hint="eastAsia" w:ascii="??_GB2312" w:hAnsi="宋体" w:cs="宋体"/>
          <w:kern w:val="0"/>
          <w:sz w:val="32"/>
          <w:szCs w:val="32"/>
          <w:lang w:eastAsia="zh-CN"/>
        </w:rPr>
        <w:t>克孜勒苏柯尔克孜自治州林业工作管理站（林业技术推广站）</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资金分配情况：</w:t>
      </w:r>
      <w:r>
        <w:rPr>
          <w:rFonts w:ascii="??_GB2312" w:hAnsi="宋体" w:eastAsia="Times New Roman" w:cs="宋体"/>
          <w:kern w:val="0"/>
          <w:sz w:val="32"/>
          <w:szCs w:val="32"/>
        </w:rPr>
        <w:t>其他对个人家庭的补助</w:t>
      </w:r>
    </w:p>
    <w:p>
      <w:pPr>
        <w:widowControl/>
        <w:spacing w:line="500" w:lineRule="exact"/>
        <w:ind w:firstLine="640"/>
        <w:jc w:val="left"/>
        <w:rPr>
          <w:rFonts w:ascii="??_GB2312" w:hAnsi="宋体" w:eastAsia="Times New Roman" w:cs="宋体"/>
          <w:kern w:val="0"/>
          <w:sz w:val="32"/>
          <w:szCs w:val="32"/>
        </w:rPr>
      </w:pPr>
      <w:r>
        <w:rPr>
          <w:rFonts w:ascii="??_GB2312" w:hAnsi="黑体" w:eastAsia="Times New Roman"/>
          <w:sz w:val="32"/>
          <w:szCs w:val="32"/>
        </w:rPr>
        <w:t>资金执行时间：</w:t>
      </w:r>
      <w:r>
        <w:rPr>
          <w:rFonts w:ascii="??_GB2312" w:hAnsi="宋体" w:eastAsia="Times New Roman" w:cs="宋体"/>
          <w:kern w:val="0"/>
          <w:sz w:val="32"/>
          <w:szCs w:val="32"/>
        </w:rPr>
        <w:t>2019年1月1日至2019年12月31日</w:t>
      </w:r>
    </w:p>
    <w:p>
      <w:pPr>
        <w:widowControl/>
        <w:spacing w:line="500" w:lineRule="exact"/>
        <w:ind w:firstLine="640"/>
        <w:jc w:val="left"/>
        <w:rPr>
          <w:rFonts w:ascii="??_GB2312" w:hAnsi="宋体" w:eastAsia="Times New Roman"/>
          <w:sz w:val="32"/>
          <w:szCs w:val="22"/>
        </w:rPr>
      </w:pPr>
      <w:r>
        <w:rPr>
          <w:rFonts w:ascii="??_GB2312" w:hAnsi="宋体" w:eastAsia="Times New Roman"/>
          <w:sz w:val="32"/>
          <w:szCs w:val="22"/>
        </w:rPr>
        <w:t>资金来源</w:t>
      </w:r>
      <w:r>
        <w:rPr>
          <w:rFonts w:ascii="??_GB2312" w:hAnsi="黑体" w:eastAsia="Times New Roman"/>
          <w:sz w:val="32"/>
          <w:szCs w:val="32"/>
        </w:rPr>
        <w:t>：</w:t>
      </w:r>
      <w:r>
        <w:rPr>
          <w:rFonts w:ascii="??_GB2312" w:hAnsi="宋体" w:eastAsia="Times New Roman" w:cs="宋体"/>
          <w:kern w:val="0"/>
          <w:sz w:val="32"/>
          <w:szCs w:val="32"/>
        </w:rPr>
        <w:t>财政拨款</w:t>
      </w:r>
    </w:p>
    <w:p>
      <w:pPr>
        <w:widowControl/>
        <w:spacing w:line="500" w:lineRule="exact"/>
        <w:ind w:firstLine="640"/>
        <w:jc w:val="left"/>
        <w:rPr>
          <w:rFonts w:ascii="??_GB2312" w:hAnsi="宋体" w:eastAsia="Times New Roman"/>
          <w:sz w:val="32"/>
          <w:szCs w:val="22"/>
        </w:rPr>
      </w:pPr>
      <w:r>
        <w:rPr>
          <w:rFonts w:ascii="??_GB2312" w:hAnsi="宋体" w:eastAsia="Times New Roman"/>
          <w:sz w:val="32"/>
          <w:szCs w:val="22"/>
        </w:rPr>
        <w:t>补贴人数</w:t>
      </w:r>
      <w:r>
        <w:rPr>
          <w:rFonts w:ascii="??_GB2312" w:hAnsi="黑体" w:eastAsia="Times New Roman"/>
          <w:sz w:val="32"/>
          <w:szCs w:val="32"/>
        </w:rPr>
        <w:t>：</w:t>
      </w:r>
      <w:r>
        <w:rPr>
          <w:rFonts w:ascii="??_GB2312" w:hAnsi="宋体" w:eastAsia="Times New Roman" w:cs="宋体"/>
          <w:kern w:val="0"/>
          <w:sz w:val="32"/>
          <w:szCs w:val="32"/>
        </w:rPr>
        <w:t>12人</w:t>
      </w:r>
    </w:p>
    <w:p>
      <w:pPr>
        <w:widowControl/>
        <w:spacing w:line="500" w:lineRule="exact"/>
        <w:ind w:firstLine="640"/>
        <w:jc w:val="left"/>
        <w:rPr>
          <w:rFonts w:ascii="??_GB2312" w:hAnsi="宋体" w:eastAsia="Times New Roman"/>
          <w:sz w:val="32"/>
          <w:szCs w:val="22"/>
        </w:rPr>
      </w:pPr>
      <w:r>
        <w:rPr>
          <w:rFonts w:ascii="??_GB2312" w:hAnsi="宋体" w:eastAsia="Times New Roman"/>
          <w:sz w:val="32"/>
          <w:szCs w:val="22"/>
        </w:rPr>
        <w:t>补贴标准</w:t>
      </w:r>
      <w:r>
        <w:rPr>
          <w:rFonts w:ascii="??_GB2312" w:hAnsi="黑体" w:eastAsia="Times New Roman"/>
          <w:sz w:val="32"/>
          <w:szCs w:val="32"/>
        </w:rPr>
        <w:t>：</w:t>
      </w:r>
      <w:r>
        <w:rPr>
          <w:rFonts w:ascii="??_GB2312" w:hAnsi="宋体" w:eastAsia="Times New Roman" w:cs="宋体"/>
          <w:kern w:val="0"/>
          <w:sz w:val="32"/>
          <w:szCs w:val="32"/>
        </w:rPr>
        <w:t>12个人*每月1800元*12个月</w:t>
      </w:r>
    </w:p>
    <w:p>
      <w:pPr>
        <w:widowControl/>
        <w:spacing w:line="500" w:lineRule="exact"/>
        <w:ind w:firstLine="640"/>
        <w:jc w:val="left"/>
        <w:rPr>
          <w:rFonts w:ascii="??_GB2312" w:hAnsi="宋体" w:eastAsia="Times New Roman"/>
          <w:sz w:val="32"/>
          <w:szCs w:val="22"/>
        </w:rPr>
      </w:pPr>
      <w:r>
        <w:rPr>
          <w:rFonts w:ascii="??_GB2312" w:hAnsi="宋体" w:eastAsia="Times New Roman"/>
          <w:sz w:val="32"/>
          <w:szCs w:val="22"/>
        </w:rPr>
        <w:t>补贴范围</w:t>
      </w:r>
      <w:r>
        <w:rPr>
          <w:rFonts w:ascii="??_GB2312" w:hAnsi="黑体" w:eastAsia="Times New Roman"/>
          <w:sz w:val="32"/>
          <w:szCs w:val="32"/>
        </w:rPr>
        <w:t>：</w:t>
      </w:r>
      <w:r>
        <w:rPr>
          <w:rFonts w:ascii="??_GB2312" w:hAnsi="宋体" w:eastAsia="Times New Roman" w:cs="宋体"/>
          <w:kern w:val="0"/>
          <w:sz w:val="32"/>
          <w:szCs w:val="32"/>
        </w:rPr>
        <w:t>群众工作人员</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sz w:val="32"/>
          <w:szCs w:val="22"/>
        </w:rPr>
        <w:t>补贴方式</w:t>
      </w:r>
      <w:r>
        <w:rPr>
          <w:rFonts w:ascii="??_GB2312" w:hAnsi="黑体" w:eastAsia="Times New Roman"/>
          <w:sz w:val="32"/>
          <w:szCs w:val="32"/>
        </w:rPr>
        <w:t>：</w:t>
      </w:r>
      <w:r>
        <w:rPr>
          <w:rFonts w:ascii="??_GB2312" w:hAnsi="宋体" w:eastAsia="Times New Roman" w:cs="宋体"/>
          <w:kern w:val="0"/>
          <w:sz w:val="32"/>
          <w:szCs w:val="32"/>
        </w:rPr>
        <w:t>现金</w:t>
      </w:r>
    </w:p>
    <w:p>
      <w:pPr>
        <w:widowControl/>
        <w:spacing w:line="500" w:lineRule="exact"/>
        <w:ind w:firstLine="640"/>
        <w:jc w:val="left"/>
        <w:rPr>
          <w:rFonts w:ascii="??_GB2312" w:hAnsi="宋体" w:eastAsia="Times New Roman"/>
          <w:sz w:val="32"/>
          <w:szCs w:val="22"/>
        </w:rPr>
      </w:pPr>
      <w:r>
        <w:rPr>
          <w:rFonts w:ascii="??_GB2312" w:hAnsi="宋体" w:eastAsia="Times New Roman" w:cs="宋体"/>
          <w:kern w:val="0"/>
          <w:sz w:val="32"/>
          <w:szCs w:val="32"/>
        </w:rPr>
        <w:t>发放程序：财政审批</w:t>
      </w:r>
    </w:p>
    <w:p>
      <w:pPr>
        <w:widowControl/>
        <w:spacing w:line="500" w:lineRule="exact"/>
        <w:ind w:firstLine="642"/>
        <w:jc w:val="left"/>
        <w:rPr>
          <w:rFonts w:ascii="??_GB2312" w:hAnsi="黑体" w:eastAsia="Times New Roman"/>
          <w:b/>
          <w:sz w:val="32"/>
          <w:szCs w:val="32"/>
        </w:rPr>
      </w:pPr>
      <w:r>
        <w:rPr>
          <w:rFonts w:ascii="??_GB2312" w:hAnsi="黑体" w:eastAsia="Times New Roman"/>
          <w:b/>
          <w:sz w:val="32"/>
          <w:szCs w:val="32"/>
        </w:rPr>
        <w:t>情况三：专项业务费</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项目名称：</w:t>
      </w:r>
      <w:r>
        <w:rPr>
          <w:rFonts w:ascii="??_GB2312" w:hAnsi="宋体" w:eastAsia="Times New Roman" w:cs="宋体"/>
          <w:kern w:val="0"/>
          <w:sz w:val="32"/>
          <w:szCs w:val="32"/>
        </w:rPr>
        <w:t>群众工作经费</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设立的政策依据：</w:t>
      </w:r>
      <w:r>
        <w:rPr>
          <w:rFonts w:ascii="??_GB2312" w:hAnsi="宋体" w:eastAsia="Times New Roman" w:cs="宋体"/>
          <w:kern w:val="0"/>
          <w:sz w:val="32"/>
          <w:szCs w:val="32"/>
        </w:rPr>
        <w:t>根据州财政2019年预算编制内容</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预算安排规模：</w:t>
      </w:r>
      <w:r>
        <w:rPr>
          <w:rFonts w:ascii="??_GB2312" w:hAnsi="宋体" w:eastAsia="Times New Roman" w:cs="宋体"/>
          <w:kern w:val="0"/>
          <w:sz w:val="32"/>
          <w:szCs w:val="32"/>
        </w:rPr>
        <w:t>14万元</w:t>
      </w:r>
    </w:p>
    <w:p>
      <w:pPr>
        <w:widowControl/>
        <w:spacing w:line="500" w:lineRule="exact"/>
        <w:ind w:firstLine="640"/>
        <w:jc w:val="left"/>
        <w:rPr>
          <w:rFonts w:hint="eastAsia" w:ascii="??_GB2312" w:hAnsi="黑体" w:eastAsia="宋体"/>
          <w:sz w:val="32"/>
          <w:szCs w:val="32"/>
          <w:lang w:eastAsia="zh-CN"/>
        </w:rPr>
      </w:pPr>
      <w:r>
        <w:rPr>
          <w:rFonts w:ascii="??_GB2312" w:hAnsi="黑体" w:eastAsia="Times New Roman"/>
          <w:sz w:val="32"/>
          <w:szCs w:val="32"/>
        </w:rPr>
        <w:t>项目承担单位：</w:t>
      </w:r>
      <w:r>
        <w:rPr>
          <w:rFonts w:hint="eastAsia" w:ascii="??_GB2312" w:hAnsi="宋体" w:cs="宋体"/>
          <w:kern w:val="0"/>
          <w:sz w:val="32"/>
          <w:szCs w:val="32"/>
          <w:lang w:eastAsia="zh-CN"/>
        </w:rPr>
        <w:t>克孜勒苏柯尔克孜自治州林业工作管理站（林业技术推广站）</w:t>
      </w:r>
    </w:p>
    <w:p>
      <w:pPr>
        <w:widowControl/>
        <w:spacing w:line="500" w:lineRule="exact"/>
        <w:ind w:firstLine="640"/>
        <w:jc w:val="left"/>
        <w:rPr>
          <w:rFonts w:ascii="??_GB2312" w:hAnsi="黑体" w:eastAsia="Times New Roman"/>
          <w:sz w:val="32"/>
          <w:szCs w:val="32"/>
        </w:rPr>
      </w:pPr>
      <w:r>
        <w:rPr>
          <w:rFonts w:ascii="??_GB2312" w:hAnsi="黑体" w:eastAsia="Times New Roman"/>
          <w:sz w:val="32"/>
          <w:szCs w:val="32"/>
        </w:rPr>
        <w:t>资金分配情况：</w:t>
      </w:r>
      <w:r>
        <w:rPr>
          <w:rFonts w:ascii="??_GB2312" w:hAnsi="宋体" w:eastAsia="Times New Roman" w:cs="宋体"/>
          <w:kern w:val="0"/>
          <w:sz w:val="32"/>
          <w:szCs w:val="32"/>
        </w:rPr>
        <w:t>办公费2.00万元公务用车维护费2.00万元、办公用品及设备耗材3.00万元、取暖费1.00万元。</w:t>
      </w:r>
    </w:p>
    <w:p>
      <w:pPr>
        <w:widowControl/>
        <w:spacing w:line="500" w:lineRule="exact"/>
        <w:ind w:firstLine="640"/>
        <w:jc w:val="left"/>
        <w:rPr>
          <w:rFonts w:ascii="??_GB2312" w:hAnsi="宋体" w:eastAsia="Times New Roman" w:cs="宋体"/>
          <w:kern w:val="0"/>
          <w:sz w:val="32"/>
          <w:szCs w:val="32"/>
        </w:rPr>
      </w:pPr>
      <w:r>
        <w:rPr>
          <w:rFonts w:ascii="??_GB2312" w:hAnsi="黑体" w:eastAsia="Times New Roman"/>
          <w:sz w:val="32"/>
          <w:szCs w:val="32"/>
        </w:rPr>
        <w:t>资金执行时间：</w:t>
      </w:r>
      <w:r>
        <w:rPr>
          <w:rFonts w:ascii="??_GB2312" w:hAnsi="宋体" w:eastAsia="Times New Roman" w:cs="宋体"/>
          <w:kern w:val="0"/>
          <w:sz w:val="32"/>
          <w:szCs w:val="32"/>
        </w:rPr>
        <w:t>2019年1月1日至2019年12月31日</w:t>
      </w:r>
    </w:p>
    <w:p>
      <w:pPr>
        <w:widowControl/>
        <w:spacing w:line="500" w:lineRule="exact"/>
        <w:ind w:firstLine="640"/>
        <w:jc w:val="left"/>
        <w:rPr>
          <w:rFonts w:ascii="??_GB2312" w:hAnsi="宋体" w:eastAsia="Times New Roman"/>
          <w:sz w:val="32"/>
          <w:szCs w:val="22"/>
        </w:rPr>
      </w:pPr>
      <w:r>
        <w:rPr>
          <w:rFonts w:ascii="??_GB2312" w:hAnsi="宋体" w:eastAsia="Times New Roman"/>
          <w:sz w:val="32"/>
          <w:szCs w:val="22"/>
        </w:rPr>
        <w:t>资金来源</w:t>
      </w:r>
      <w:r>
        <w:rPr>
          <w:rFonts w:ascii="??_GB2312" w:hAnsi="黑体" w:eastAsia="Times New Roman"/>
          <w:sz w:val="32"/>
          <w:szCs w:val="32"/>
        </w:rPr>
        <w:t>：</w:t>
      </w:r>
      <w:r>
        <w:rPr>
          <w:rFonts w:ascii="??_GB2312" w:hAnsi="宋体" w:eastAsia="Times New Roman" w:cs="宋体"/>
          <w:kern w:val="0"/>
          <w:sz w:val="32"/>
          <w:szCs w:val="32"/>
        </w:rPr>
        <w:t>财政拨款</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sz w:val="32"/>
          <w:szCs w:val="22"/>
        </w:rPr>
        <w:t>受益人群和社会效益</w:t>
      </w:r>
      <w:r>
        <w:rPr>
          <w:rFonts w:ascii="??_GB2312" w:hAnsi="黑体" w:eastAsia="Times New Roman"/>
          <w:sz w:val="32"/>
          <w:szCs w:val="32"/>
        </w:rPr>
        <w:t>：</w:t>
      </w:r>
      <w:r>
        <w:rPr>
          <w:rFonts w:ascii="??_GB2312" w:hAnsi="宋体" w:eastAsia="Times New Roman" w:cs="宋体"/>
          <w:kern w:val="0"/>
          <w:sz w:val="32"/>
          <w:szCs w:val="32"/>
        </w:rPr>
        <w:t>群众工作村广大群众充分了解党和国家的政策、富民措施、提高劳动生产率、增加收入、共同富裕发展。</w:t>
      </w:r>
    </w:p>
    <w:p>
      <w:pPr>
        <w:widowControl/>
        <w:numPr>
          <w:ilvl w:val="0"/>
          <w:numId w:val="1"/>
        </w:numPr>
        <w:spacing w:line="500" w:lineRule="exact"/>
        <w:ind w:firstLine="642"/>
        <w:jc w:val="left"/>
        <w:rPr>
          <w:rFonts w:ascii="??_GB2312" w:hAnsi="宋体" w:eastAsia="Times New Roman"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年一般公共预算“三公”经费预算情况说明</w:t>
      </w:r>
    </w:p>
    <w:p>
      <w:pPr>
        <w:widowControl/>
        <w:spacing w:line="500" w:lineRule="exact"/>
        <w:ind w:firstLine="640" w:firstLineChars="20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部门2019年“三公”经费财政拨款预算数为5.7万元，其中：因公出国（境）费0万元，公务用车购置0万元，公务用车运行费5.7万元，公务接待费0万元。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2019年“三公”经费财政拨款预算比上年减少1万元，其中：因公出国（境）费增加（减少）0万元，主要原因是未安排预算；公务用车购置费为0，未安排预算。公务用车运行费减少1万元，主要原因是今年主要工作在基层开展、生产上用车较少；公务接待费增加（减少）0万元，主要原因是未安排预算。</w:t>
      </w:r>
    </w:p>
    <w:p>
      <w:pPr>
        <w:widowControl/>
        <w:spacing w:line="500" w:lineRule="exact"/>
        <w:ind w:firstLine="642"/>
        <w:jc w:val="left"/>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克孜勒苏柯尔克孜自治州林业工作管理站（林业技术推广站）</w:t>
      </w:r>
      <w:r>
        <w:rPr>
          <w:rFonts w:hint="eastAsia" w:ascii="黑体" w:hAnsi="宋体" w:eastAsia="黑体" w:cs="宋体"/>
          <w:kern w:val="0"/>
          <w:sz w:val="32"/>
          <w:szCs w:val="32"/>
        </w:rPr>
        <w:t>部门</w:t>
      </w:r>
      <w:r>
        <w:rPr>
          <w:rFonts w:ascii="黑体" w:hAnsi="宋体" w:eastAsia="黑体" w:cs="宋体"/>
          <w:kern w:val="0"/>
          <w:sz w:val="32"/>
          <w:szCs w:val="32"/>
        </w:rPr>
        <w:t>2019</w:t>
      </w:r>
      <w:r>
        <w:rPr>
          <w:rFonts w:hint="eastAsia" w:ascii="黑体" w:hAnsi="宋体" w:eastAsia="黑体" w:cs="宋体"/>
          <w:kern w:val="0"/>
          <w:sz w:val="32"/>
          <w:szCs w:val="32"/>
        </w:rPr>
        <w:t>年政府性基金预算拨款情况说明</w:t>
      </w:r>
    </w:p>
    <w:p>
      <w:pPr>
        <w:widowControl/>
        <w:spacing w:line="500" w:lineRule="exact"/>
        <w:ind w:firstLine="640"/>
        <w:jc w:val="left"/>
        <w:rPr>
          <w:rFonts w:ascii="??_GB2312" w:hAnsi="宋体" w:eastAsia="Times New Roman" w:cs="宋体"/>
          <w:kern w:val="0"/>
          <w:sz w:val="32"/>
          <w:szCs w:val="32"/>
        </w:rPr>
      </w:pP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部门2019年没有使用政府性基金预算拨款安排的支出，政府性基金预算支出情况表为空表。</w:t>
      </w:r>
    </w:p>
    <w:p>
      <w:pPr>
        <w:widowControl/>
        <w:spacing w:line="50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2019年，</w:t>
      </w: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本级0家行政单位、0家参公管理单位、1家事业单位的机关运行经费财政拨款预算10.35万元，比上年预算增加0.15万元，增长1.47%。主要原因是2019年的工会经费、福利费、办公费比2018年增加所以关于这方面的开支也比去年增长。</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2019年，</w:t>
      </w: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政府采购预算39.48万元，其中：政府采购货物预算26.68万元，政府采购工程预算0万元，政府采购服务预算12.80万元。</w:t>
      </w:r>
    </w:p>
    <w:p>
      <w:pPr>
        <w:widowControl/>
        <w:spacing w:line="500" w:lineRule="exact"/>
        <w:ind w:firstLine="640"/>
        <w:jc w:val="left"/>
        <w:rPr>
          <w:rFonts w:ascii="??_GB2312" w:hAnsi="宋体" w:eastAsia="Times New Roman" w:cs="宋体"/>
          <w:kern w:val="0"/>
          <w:sz w:val="32"/>
          <w:szCs w:val="32"/>
        </w:rPr>
      </w:pPr>
      <w:r>
        <w:rPr>
          <w:rFonts w:ascii="??_GB2312" w:hAnsi="??_GB2312" w:eastAsia="Times New Roman"/>
          <w:sz w:val="32"/>
        </w:rPr>
        <w:t>2019</w:t>
      </w:r>
      <w:r>
        <w:rPr>
          <w:rFonts w:hint="eastAsia" w:ascii="宋体" w:hAnsi="宋体" w:cs="宋体"/>
          <w:sz w:val="32"/>
        </w:rPr>
        <w:t>年度本部门面向中小企业预留政府采购项目预算金额</w:t>
      </w:r>
      <w:r>
        <w:rPr>
          <w:rFonts w:ascii="??_GB2312" w:hAnsi="??_GB2312" w:eastAsia="Times New Roman"/>
          <w:sz w:val="32"/>
        </w:rPr>
        <w:t>26.68</w:t>
      </w:r>
      <w:r>
        <w:rPr>
          <w:rFonts w:hint="eastAsia" w:ascii="宋体" w:hAnsi="宋体" w:cs="宋体"/>
          <w:sz w:val="32"/>
        </w:rPr>
        <w:t>万元，其中：面向小微企业预留政府采购项目预算金额</w:t>
      </w:r>
      <w:r>
        <w:rPr>
          <w:rFonts w:ascii="??_GB2312" w:hAnsi="??_GB2312" w:eastAsia="Times New Roman"/>
          <w:sz w:val="32"/>
        </w:rPr>
        <w:t>26.68</w:t>
      </w:r>
      <w:r>
        <w:rPr>
          <w:rFonts w:hint="eastAsia" w:ascii="宋体" w:hAnsi="宋体" w:cs="宋体"/>
          <w:sz w:val="32"/>
        </w:rPr>
        <w:t>万元。</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截至2018年底，</w:t>
      </w:r>
      <w:r>
        <w:rPr>
          <w:rFonts w:hint="eastAsia" w:ascii="??_GB2312" w:hAnsi="宋体" w:cs="宋体"/>
          <w:kern w:val="0"/>
          <w:sz w:val="32"/>
          <w:szCs w:val="32"/>
          <w:lang w:eastAsia="zh-CN"/>
        </w:rPr>
        <w:t>克孜勒苏柯尔克孜自治州林业工作管理站（林业技术推广站）</w:t>
      </w:r>
      <w:r>
        <w:rPr>
          <w:rFonts w:ascii="??_GB2312" w:hAnsi="宋体" w:eastAsia="Times New Roman" w:cs="宋体"/>
          <w:kern w:val="0"/>
          <w:sz w:val="32"/>
          <w:szCs w:val="32"/>
        </w:rPr>
        <w:t>占用使用国有资产总体情况为</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1.房屋469平方米，价值47.42万元。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2.车辆3辆，价值49.85万元；其中：一般公务用车2辆，价值40.76万元；执法执勤用车1辆，价值9.09万元；其他车辆0辆，价值0万元。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3.办公家具价值5.4万元。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4.其他资产价值185.19万元。</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单位价值50万元以上大型设备0台（套），单位价值100万元以上大型设备0台（套）。</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2019年部门预算未安排购置车辆经费（或安排购置车辆经费0万元），安排购置50万元以上大型设备0台（套），单位价值100万元以上大型设备0台（套）。</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spacing w:line="500" w:lineRule="exact"/>
        <w:ind w:firstLine="640"/>
        <w:jc w:val="left"/>
        <w:rPr>
          <w:rFonts w:ascii="??_GB2312" w:hAnsi="宋体" w:eastAsia="Times New Roman" w:cs="宋体"/>
          <w:kern w:val="0"/>
          <w:sz w:val="32"/>
          <w:szCs w:val="32"/>
        </w:rPr>
      </w:pPr>
      <w:r>
        <w:rPr>
          <w:rFonts w:ascii="??_GB2312" w:hAnsi="宋体" w:eastAsia="Times New Roman" w:cs="宋体"/>
          <w:kern w:val="0"/>
          <w:sz w:val="32"/>
          <w:szCs w:val="32"/>
        </w:rPr>
        <w:t>2019年度，本年度实行绩效管理的项目3个，涉及预算金额44.92万元。具体情况见下表（按项目分别填报）：</w:t>
      </w:r>
    </w:p>
    <w:p>
      <w:pPr>
        <w:spacing w:line="520" w:lineRule="exact"/>
        <w:rPr>
          <w:rFonts w:ascii="??_GB2312" w:hAnsi="宋体" w:eastAsia="Times New Roman" w:cs="宋体"/>
          <w:kern w:val="0"/>
          <w:sz w:val="32"/>
          <w:szCs w:val="32"/>
        </w:rPr>
      </w:pPr>
    </w:p>
    <w:p>
      <w:pPr>
        <w:spacing w:line="500" w:lineRule="exact"/>
        <w:rPr>
          <w:rFonts w:ascii="??_GB2312" w:hAnsi="宋体" w:eastAsia="Times New Roman" w:cs="宋体"/>
          <w:kern w:val="0"/>
          <w:sz w:val="32"/>
          <w:szCs w:val="32"/>
        </w:rPr>
      </w:pPr>
    </w:p>
    <w:p>
      <w:pPr>
        <w:spacing w:line="500" w:lineRule="exact"/>
        <w:rPr>
          <w:rFonts w:ascii="??_GB2312" w:hAnsi="宋体" w:eastAsia="Times New Roman" w:cs="宋体"/>
          <w:kern w:val="0"/>
          <w:sz w:val="32"/>
          <w:szCs w:val="32"/>
        </w:rPr>
      </w:pPr>
    </w:p>
    <w:p>
      <w:pPr>
        <w:spacing w:line="500" w:lineRule="exact"/>
        <w:rPr>
          <w:rFonts w:ascii="??_GB2312" w:hAnsi="宋体" w:eastAsia="Times New Roman" w:cs="宋体"/>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r>
        <w:rPr>
          <w:rFonts w:ascii="??_GB2312" w:hAnsi="宋体" w:eastAsia="Times New Roman"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493"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eastAsia="zh-CN"/>
              </w:rPr>
              <w:t>克孜勒苏柯尔克孜自治州林业工作管理站（林业技术推广站）</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北山病虫害防治项目</w:t>
            </w:r>
          </w:p>
        </w:tc>
      </w:tr>
      <w:tr>
        <w:tblPrEx>
          <w:tblCellMar>
            <w:top w:w="0" w:type="dxa"/>
            <w:left w:w="108" w:type="dxa"/>
            <w:bottom w:w="0" w:type="dxa"/>
            <w:right w:w="108" w:type="dxa"/>
          </w:tblCellMar>
        </w:tblPrEx>
        <w:trPr>
          <w:trHeight w:val="613"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r>
              <w:rPr>
                <w:rFonts w:ascii="宋体" w:hAnsi="宋体" w:cs="宋体"/>
                <w:kern w:val="0"/>
                <w:sz w:val="18"/>
                <w:szCs w:val="18"/>
              </w:rPr>
              <w:t>5</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cs="宋体"/>
                <w:kern w:val="0"/>
                <w:sz w:val="18"/>
                <w:szCs w:val="18"/>
              </w:rPr>
              <w:t>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cs="宋体"/>
                <w:kern w:val="0"/>
                <w:sz w:val="18"/>
                <w:szCs w:val="18"/>
              </w:rPr>
            </w:pPr>
            <w:r>
              <w:rPr>
                <w:rFonts w:ascii="??_GB2312" w:eastAsia="Times New Roman" w:cs="??_GB2312"/>
                <w:szCs w:val="21"/>
                <w:lang w:val="zh-CN"/>
              </w:rPr>
              <w:t>推</w:t>
            </w:r>
            <w:r>
              <w:rPr>
                <w:rFonts w:hint="eastAsia" w:ascii="宋体" w:hAnsi="宋体" w:cs="宋体"/>
                <w:kern w:val="0"/>
                <w:sz w:val="18"/>
                <w:szCs w:val="18"/>
                <w:lang w:val="zh-CN"/>
              </w:rPr>
              <w:t>动示范园区林果业管理标准化进程，提升林果生产的科技含量，提高林果业生产质量和效益，将示范园建设成为林业科技成果展示平台、科普与人才培训基地、森林文化的载体、城市森林的样板、理想的休闲场所</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r>
              <w:rPr>
                <w:rFonts w:ascii="宋体" w:hAnsi="宋体" w:cs="宋体"/>
                <w:kern w:val="0"/>
                <w:sz w:val="18"/>
                <w:szCs w:val="18"/>
              </w:rPr>
              <w:t>2019</w:t>
            </w:r>
            <w:r>
              <w:rPr>
                <w:rFonts w:hint="eastAsia" w:ascii="宋体" w:hAnsi="宋体" w:cs="宋体"/>
                <w:kern w:val="0"/>
                <w:sz w:val="18"/>
                <w:szCs w:val="18"/>
              </w:rPr>
              <w:t>年</w:t>
            </w:r>
            <w:r>
              <w:rPr>
                <w:rFonts w:ascii="宋体" w:hAnsi="宋体" w:cs="宋体"/>
                <w:kern w:val="0"/>
                <w:sz w:val="18"/>
                <w:szCs w:val="18"/>
              </w:rPr>
              <w:t>12</w:t>
            </w:r>
            <w:r>
              <w:rPr>
                <w:rFonts w:hint="eastAsia" w:ascii="宋体" w:hAnsi="宋体" w:cs="宋体"/>
                <w:kern w:val="0"/>
                <w:sz w:val="18"/>
                <w:szCs w:val="18"/>
              </w:rPr>
              <w:t>月之前完成</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2019</w:t>
            </w:r>
            <w:r>
              <w:rPr>
                <w:rFonts w:hint="eastAsia" w:ascii="宋体" w:hAnsi="宋体" w:cs="宋体"/>
                <w:kern w:val="0"/>
                <w:sz w:val="18"/>
                <w:szCs w:val="18"/>
              </w:rPr>
              <w:t>年</w:t>
            </w:r>
            <w:r>
              <w:rPr>
                <w:rFonts w:ascii="宋体" w:hAnsi="宋体" w:cs="宋体"/>
                <w:kern w:val="0"/>
                <w:sz w:val="18"/>
                <w:szCs w:val="18"/>
              </w:rPr>
              <w:t>1</w:t>
            </w:r>
            <w:r>
              <w:rPr>
                <w:rFonts w:hint="eastAsia" w:ascii="宋体" w:hAnsi="宋体" w:cs="宋体"/>
                <w:kern w:val="0"/>
                <w:sz w:val="18"/>
                <w:szCs w:val="18"/>
              </w:rPr>
              <w:t>月至</w:t>
            </w:r>
            <w:r>
              <w:rPr>
                <w:rFonts w:ascii="宋体" w:hAnsi="宋体" w:cs="宋体"/>
                <w:kern w:val="0"/>
                <w:sz w:val="18"/>
                <w:szCs w:val="18"/>
              </w:rPr>
              <w:t>2019</w:t>
            </w:r>
            <w:r>
              <w:rPr>
                <w:rFonts w:hint="eastAsia" w:ascii="宋体" w:hAnsi="宋体" w:cs="宋体"/>
                <w:kern w:val="0"/>
                <w:sz w:val="18"/>
                <w:szCs w:val="18"/>
              </w:rPr>
              <w:t>年</w:t>
            </w:r>
            <w:r>
              <w:rPr>
                <w:rFonts w:ascii="宋体" w:hAnsi="宋体" w:cs="宋体"/>
                <w:kern w:val="0"/>
                <w:sz w:val="18"/>
                <w:szCs w:val="18"/>
              </w:rPr>
              <w:t>12</w:t>
            </w:r>
            <w:r>
              <w:rPr>
                <w:rFonts w:hint="eastAsia" w:ascii="宋体" w:hAnsi="宋体" w:cs="宋体"/>
                <w:kern w:val="0"/>
                <w:sz w:val="18"/>
                <w:szCs w:val="18"/>
              </w:rPr>
              <w:t>月</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辐射带动面积</w:t>
            </w:r>
            <w:r>
              <w:rPr>
                <w:rFonts w:ascii="宋体" w:hAnsi="宋体" w:cs="宋体"/>
                <w:kern w:val="0"/>
                <w:sz w:val="18"/>
                <w:szCs w:val="18"/>
              </w:rPr>
              <w:t>5000</w:t>
            </w:r>
            <w:r>
              <w:rPr>
                <w:rFonts w:hint="eastAsia" w:ascii="宋体" w:hAnsi="宋体" w:cs="宋体"/>
                <w:kern w:val="0"/>
                <w:sz w:val="18"/>
                <w:szCs w:val="18"/>
              </w:rPr>
              <w:t>亩</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全州已建立示范园</w:t>
            </w:r>
            <w:r>
              <w:rPr>
                <w:rFonts w:ascii="宋体" w:hAnsi="宋体" w:cs="宋体"/>
                <w:kern w:val="0"/>
                <w:sz w:val="18"/>
                <w:szCs w:val="18"/>
              </w:rPr>
              <w:t>47</w:t>
            </w:r>
            <w:r>
              <w:rPr>
                <w:rFonts w:hint="eastAsia" w:ascii="宋体" w:hAnsi="宋体" w:cs="宋体"/>
                <w:kern w:val="0"/>
                <w:sz w:val="18"/>
                <w:szCs w:val="18"/>
              </w:rPr>
              <w:t>处、</w:t>
            </w:r>
            <w:r>
              <w:rPr>
                <w:rFonts w:ascii="宋体" w:hAnsi="宋体" w:cs="宋体"/>
                <w:kern w:val="0"/>
                <w:sz w:val="18"/>
                <w:szCs w:val="18"/>
              </w:rPr>
              <w:t>8500</w:t>
            </w:r>
            <w:r>
              <w:rPr>
                <w:rFonts w:hint="eastAsia" w:ascii="宋体" w:hAnsi="宋体" w:cs="宋体"/>
                <w:kern w:val="0"/>
                <w:sz w:val="18"/>
                <w:szCs w:val="18"/>
              </w:rPr>
              <w:t>亩　</w:t>
            </w:r>
          </w:p>
        </w:tc>
      </w:tr>
      <w:tr>
        <w:tblPrEx>
          <w:tblCellMar>
            <w:top w:w="0" w:type="dxa"/>
            <w:left w:w="108" w:type="dxa"/>
            <w:bottom w:w="0" w:type="dxa"/>
            <w:right w:w="108" w:type="dxa"/>
          </w:tblCellMar>
        </w:tblPrEx>
        <w:trPr>
          <w:trHeight w:val="39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r>
              <w:rPr>
                <w:rFonts w:ascii="??_GB2312" w:eastAsia="Times New Roman" w:cs="??_GB2312"/>
                <w:szCs w:val="21"/>
                <w:lang w:val="zh-CN"/>
              </w:rPr>
              <w:t>推</w:t>
            </w:r>
            <w:r>
              <w:rPr>
                <w:rFonts w:hint="eastAsia" w:ascii="宋体" w:hAnsi="宋体" w:cs="宋体"/>
                <w:kern w:val="0"/>
                <w:sz w:val="18"/>
                <w:szCs w:val="18"/>
                <w:lang w:val="zh-CN"/>
              </w:rPr>
              <w:t>动示范园区林果业管理标准化进程</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按标准化管理实施高标准完成　</w:t>
            </w:r>
          </w:p>
        </w:tc>
      </w:tr>
      <w:tr>
        <w:tblPrEx>
          <w:tblCellMar>
            <w:top w:w="0" w:type="dxa"/>
            <w:left w:w="108" w:type="dxa"/>
            <w:bottom w:w="0" w:type="dxa"/>
            <w:right w:w="108" w:type="dxa"/>
          </w:tblCellMar>
        </w:tblPrEx>
        <w:trPr>
          <w:trHeight w:val="41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年均收入</w:t>
            </w:r>
            <w:r>
              <w:rPr>
                <w:rFonts w:ascii="宋体" w:hAnsi="宋体" w:cs="宋体"/>
                <w:kern w:val="0"/>
                <w:sz w:val="18"/>
                <w:szCs w:val="18"/>
              </w:rPr>
              <w:t>2</w:t>
            </w:r>
            <w:r>
              <w:rPr>
                <w:rFonts w:hint="eastAsia" w:ascii="宋体" w:hAnsi="宋体" w:cs="宋体"/>
                <w:kern w:val="0"/>
                <w:sz w:val="18"/>
                <w:szCs w:val="18"/>
              </w:rPr>
              <w:t>万元　</w:t>
            </w:r>
          </w:p>
        </w:tc>
      </w:tr>
      <w:tr>
        <w:tblPrEx>
          <w:tblCellMar>
            <w:top w:w="0" w:type="dxa"/>
            <w:left w:w="108" w:type="dxa"/>
            <w:bottom w:w="0" w:type="dxa"/>
            <w:right w:w="108" w:type="dxa"/>
          </w:tblCellMar>
        </w:tblPrEx>
        <w:trPr>
          <w:trHeight w:val="520"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zh-CN"/>
              </w:rPr>
              <w:t>示范园建设成为林业科技成果展示平台、科普与人才培训基地</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年培训人数已达</w:t>
            </w:r>
            <w:r>
              <w:rPr>
                <w:rFonts w:ascii="宋体" w:hAnsi="宋体" w:cs="宋体"/>
                <w:kern w:val="0"/>
                <w:sz w:val="18"/>
                <w:szCs w:val="18"/>
              </w:rPr>
              <w:t>1500</w:t>
            </w:r>
            <w:r>
              <w:rPr>
                <w:rFonts w:hint="eastAsia" w:ascii="宋体" w:hAnsi="宋体" w:cs="宋体"/>
                <w:kern w:val="0"/>
                <w:sz w:val="18"/>
                <w:szCs w:val="18"/>
              </w:rPr>
              <w:t>人次　</w:t>
            </w:r>
          </w:p>
        </w:tc>
      </w:tr>
      <w:tr>
        <w:tblPrEx>
          <w:tblCellMar>
            <w:top w:w="0" w:type="dxa"/>
            <w:left w:w="108" w:type="dxa"/>
            <w:bottom w:w="0" w:type="dxa"/>
            <w:right w:w="108" w:type="dxa"/>
          </w:tblCellMar>
        </w:tblPrEx>
        <w:trPr>
          <w:trHeight w:val="576"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lang w:val="zh-CN"/>
              </w:rPr>
              <w:t>　提升林果生产的科技含量，提高林果业生产质量和效益</w:t>
            </w:r>
          </w:p>
        </w:tc>
        <w:tc>
          <w:tcPr>
            <w:tcW w:w="2978" w:type="dxa"/>
            <w:gridSpan w:val="3"/>
            <w:tcBorders>
              <w:top w:val="single" w:color="000000" w:sz="4" w:space="0"/>
              <w:left w:val="nil"/>
              <w:bottom w:val="single" w:color="000000" w:sz="4" w:space="0"/>
              <w:right w:val="single" w:color="000000" w:sz="4" w:space="0"/>
            </w:tcBorders>
            <w:vAlign w:val="center"/>
          </w:tcPr>
          <w:p>
            <w:pPr>
              <w:spacing w:line="280" w:lineRule="exact"/>
              <w:rPr>
                <w:rFonts w:ascii="宋体" w:cs="宋体"/>
                <w:kern w:val="0"/>
                <w:sz w:val="18"/>
                <w:szCs w:val="18"/>
              </w:rPr>
            </w:pPr>
            <w:r>
              <w:rPr>
                <w:rFonts w:hint="eastAsia" w:ascii="宋体" w:hAnsi="宋体" w:cs="宋体"/>
                <w:kern w:val="0"/>
                <w:sz w:val="18"/>
                <w:szCs w:val="18"/>
                <w:lang w:val="zh-CN"/>
              </w:rPr>
              <w:t>有效控制无花果发生的细菌性花叶病引起的褐斑病，提升了克州无花果标准化生产水平，提高产量和品质，增加农牧民的收入，提供了科技掌握，推动了贫困户如期脱贫。</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9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w:t>
            </w:r>
            <w:r>
              <w:rPr>
                <w:rFonts w:ascii="宋体" w:hAnsi="宋体" w:cs="宋体"/>
                <w:kern w:val="0"/>
                <w:sz w:val="18"/>
                <w:szCs w:val="18"/>
              </w:rPr>
              <w:t>90%</w:t>
            </w:r>
            <w:r>
              <w:rPr>
                <w:rFonts w:hint="eastAsia" w:ascii="宋体" w:hAnsi="宋体" w:cs="宋体"/>
                <w:kern w:val="0"/>
                <w:sz w:val="18"/>
                <w:szCs w:val="18"/>
              </w:rPr>
              <w:t>　</w:t>
            </w:r>
          </w:p>
        </w:tc>
      </w:tr>
    </w:tbl>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p>
    <w:p>
      <w:pPr>
        <w:spacing w:line="500" w:lineRule="exact"/>
        <w:ind w:firstLine="2241" w:firstLineChars="700"/>
        <w:rPr>
          <w:rFonts w:ascii="??_GB2312" w:hAnsi="宋体" w:eastAsia="Times New Roman" w:cs="宋体"/>
          <w:b/>
          <w:bCs/>
          <w:kern w:val="0"/>
          <w:sz w:val="32"/>
          <w:szCs w:val="32"/>
        </w:rPr>
      </w:pPr>
      <w:r>
        <w:rPr>
          <w:rFonts w:ascii="??_GB2312" w:hAnsi="宋体" w:eastAsia="Times New Roman"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eastAsia="zh-CN"/>
              </w:rPr>
              <w:t>克孜勒苏柯尔克孜自治州林业工作管理站（林业技术推广站）</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群众工作人员经费</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25.92</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25.92</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tcPr>
          <w:p>
            <w:pPr>
              <w:widowControl/>
              <w:jc w:val="left"/>
              <w:rPr>
                <w:rFonts w:ascii="宋体" w:cs="宋体"/>
                <w:kern w:val="0"/>
                <w:sz w:val="18"/>
                <w:szCs w:val="18"/>
              </w:rPr>
            </w:pPr>
            <w:r>
              <w:rPr>
                <w:rFonts w:hint="eastAsia" w:ascii="宋体" w:hAnsi="宋体" w:cs="宋体"/>
                <w:kern w:val="0"/>
                <w:sz w:val="18"/>
                <w:szCs w:val="18"/>
              </w:rPr>
              <w:t>群众工作人员经费发放给工作人员　</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项目完成指标</w:t>
            </w:r>
          </w:p>
        </w:tc>
        <w:tc>
          <w:tcPr>
            <w:tcW w:w="1508" w:type="dxa"/>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按每月每人</w:t>
            </w:r>
            <w:r>
              <w:rPr>
                <w:rFonts w:ascii="宋体" w:hAnsi="宋体" w:cs="宋体"/>
                <w:kern w:val="0"/>
                <w:sz w:val="18"/>
                <w:szCs w:val="18"/>
              </w:rPr>
              <w:t>1800</w:t>
            </w:r>
            <w:r>
              <w:rPr>
                <w:rFonts w:hint="eastAsia" w:ascii="宋体" w:hAnsi="宋体" w:cs="宋体"/>
                <w:kern w:val="0"/>
                <w:sz w:val="18"/>
                <w:szCs w:val="18"/>
              </w:rPr>
              <w:t>元　，支教人员每人每月</w:t>
            </w:r>
            <w:r>
              <w:rPr>
                <w:rFonts w:ascii="宋体" w:hAnsi="宋体" w:cs="宋体"/>
                <w:kern w:val="0"/>
                <w:sz w:val="18"/>
                <w:szCs w:val="18"/>
              </w:rPr>
              <w:t>2600</w:t>
            </w:r>
            <w:r>
              <w:rPr>
                <w:rFonts w:hint="eastAsia" w:ascii="宋体" w:hAnsi="宋体" w:cs="宋体"/>
                <w:kern w:val="0"/>
                <w:sz w:val="18"/>
                <w:szCs w:val="18"/>
              </w:rPr>
              <w:t>元</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宋体" w:hAnsi="宋体" w:cs="宋体"/>
                <w:kern w:val="0"/>
                <w:sz w:val="18"/>
                <w:szCs w:val="18"/>
              </w:rPr>
              <w:t>25.92</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开始时间</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2019年1月</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结束时间</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2019年12月</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开展群众工作补助人员</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≥12人</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81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提升工作人员工作效率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≥80%</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带动贫困人口增收</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人均收入增收200元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提升基层组织服务意识</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≥80%</w:t>
            </w:r>
          </w:p>
        </w:tc>
      </w:tr>
      <w:tr>
        <w:tblPrEx>
          <w:tblCellMar>
            <w:top w:w="0" w:type="dxa"/>
            <w:left w:w="108" w:type="dxa"/>
            <w:bottom w:w="0" w:type="dxa"/>
            <w:right w:w="108" w:type="dxa"/>
          </w:tblCellMar>
        </w:tblPrEx>
        <w:trPr>
          <w:trHeight w:val="415"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30"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受益村委会干部人数</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56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受益村民人口数量</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村委会环境改善程度</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≥85%</w:t>
            </w:r>
          </w:p>
        </w:tc>
      </w:tr>
      <w:tr>
        <w:tblPrEx>
          <w:tblCellMar>
            <w:top w:w="0" w:type="dxa"/>
            <w:left w:w="108" w:type="dxa"/>
            <w:bottom w:w="0" w:type="dxa"/>
            <w:right w:w="108" w:type="dxa"/>
          </w:tblCellMar>
        </w:tblPrEx>
        <w:trPr>
          <w:trHeight w:val="611" w:hRule="atLeast"/>
        </w:trPr>
        <w:tc>
          <w:tcPr>
            <w:tcW w:w="1664"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cs="宋体"/>
                <w:kern w:val="0"/>
                <w:sz w:val="18"/>
                <w:szCs w:val="18"/>
              </w:rPr>
            </w:pPr>
          </w:p>
        </w:tc>
        <w:tc>
          <w:tcPr>
            <w:tcW w:w="1508" w:type="dxa"/>
            <w:vMerge w:val="continue"/>
            <w:tcBorders>
              <w:top w:val="nil"/>
              <w:left w:val="single" w:color="000000" w:sz="4" w:space="0"/>
              <w:bottom w:val="single" w:color="auto" w:sz="4" w:space="0"/>
              <w:right w:val="single" w:color="000000" w:sz="4" w:space="0"/>
            </w:tcBorders>
            <w:vAlign w:val="center"/>
          </w:tcPr>
          <w:p>
            <w:pPr>
              <w:widowControl/>
              <w:jc w:val="left"/>
              <w:rPr>
                <w:rFonts w:ascii="宋体" w:cs="宋体"/>
                <w:kern w:val="0"/>
                <w:sz w:val="18"/>
                <w:szCs w:val="18"/>
              </w:rPr>
            </w:pPr>
          </w:p>
        </w:tc>
        <w:tc>
          <w:tcPr>
            <w:tcW w:w="2354" w:type="dxa"/>
            <w:gridSpan w:val="3"/>
            <w:tcBorders>
              <w:top w:val="single" w:color="000000" w:sz="4" w:space="0"/>
              <w:left w:val="nil"/>
              <w:bottom w:val="single" w:color="auto" w:sz="4" w:space="0"/>
              <w:right w:val="single" w:color="000000"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48" w:hRule="atLeast"/>
        </w:trPr>
        <w:tc>
          <w:tcPr>
            <w:tcW w:w="16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15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群众满意度</w:t>
            </w:r>
          </w:p>
        </w:tc>
        <w:tc>
          <w:tcPr>
            <w:tcW w:w="2978"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宋体"/>
                <w:kern w:val="0"/>
                <w:sz w:val="18"/>
                <w:szCs w:val="18"/>
              </w:rPr>
            </w:pPr>
            <w:r>
              <w:rPr>
                <w:rFonts w:ascii="??_GB2312" w:hAnsi="宋体" w:eastAsia="Times New Roman" w:cs="宋体"/>
                <w:kern w:val="0"/>
                <w:sz w:val="18"/>
                <w:szCs w:val="18"/>
              </w:rPr>
              <w:t>　　≥90%</w:t>
            </w:r>
          </w:p>
        </w:tc>
      </w:tr>
      <w:tr>
        <w:tblPrEx>
          <w:tblCellMar>
            <w:top w:w="0" w:type="dxa"/>
            <w:left w:w="108" w:type="dxa"/>
            <w:bottom w:w="0" w:type="dxa"/>
            <w:right w:w="108" w:type="dxa"/>
          </w:tblCellMar>
        </w:tblPrEx>
        <w:trPr>
          <w:trHeight w:val="692" w:hRule="atLeast"/>
        </w:trPr>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5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bl>
    <w:p>
      <w:pPr>
        <w:spacing w:line="500" w:lineRule="exact"/>
        <w:ind w:firstLine="2240" w:firstLineChars="700"/>
        <w:rPr>
          <w:rFonts w:ascii="??_GB2312" w:hAnsi="宋体" w:eastAsia="Times New Roman" w:cs="宋体"/>
          <w:kern w:val="0"/>
          <w:sz w:val="32"/>
          <w:szCs w:val="32"/>
        </w:rPr>
      </w:pPr>
      <w:r>
        <w:rPr>
          <w:rFonts w:ascii="??_GB2312" w:hAnsi="宋体" w:eastAsia="Times New Roman" w:cs="宋体"/>
          <w:kern w:val="0"/>
          <w:sz w:val="32"/>
          <w:szCs w:val="32"/>
        </w:rPr>
        <w:t xml:space="preserve">   </w:t>
      </w:r>
    </w:p>
    <w:p>
      <w:pPr>
        <w:spacing w:line="500" w:lineRule="exact"/>
        <w:ind w:firstLine="2241" w:firstLineChars="700"/>
        <w:rPr>
          <w:rFonts w:ascii="??_GB2312" w:hAnsi="宋体" w:eastAsia="Times New Roman" w:cs="宋体"/>
          <w:b/>
          <w:bCs/>
          <w:kern w:val="0"/>
          <w:sz w:val="32"/>
          <w:szCs w:val="32"/>
        </w:rPr>
      </w:pPr>
      <w:r>
        <w:rPr>
          <w:rFonts w:ascii="??_GB2312" w:hAnsi="宋体" w:eastAsia="Times New Roman" w:cs="宋体"/>
          <w:b/>
          <w:bCs/>
          <w:kern w:val="0"/>
          <w:sz w:val="32"/>
          <w:szCs w:val="32"/>
        </w:rPr>
        <w:t>项 目 支 出 绩 效 目 标 表</w:t>
      </w:r>
    </w:p>
    <w:tbl>
      <w:tblPr>
        <w:tblStyle w:val="7"/>
        <w:tblW w:w="8504" w:type="dxa"/>
        <w:tblInd w:w="93" w:type="dxa"/>
        <w:tblLayout w:type="fixed"/>
        <w:tblCellMar>
          <w:top w:w="0" w:type="dxa"/>
          <w:left w:w="108" w:type="dxa"/>
          <w:bottom w:w="0" w:type="dxa"/>
          <w:right w:w="108" w:type="dxa"/>
        </w:tblCellMar>
      </w:tblPr>
      <w:tblGrid>
        <w:gridCol w:w="1664"/>
        <w:gridCol w:w="1186"/>
        <w:gridCol w:w="322"/>
        <w:gridCol w:w="781"/>
        <w:gridCol w:w="1020"/>
        <w:gridCol w:w="553"/>
        <w:gridCol w:w="460"/>
        <w:gridCol w:w="1003"/>
        <w:gridCol w:w="1515"/>
      </w:tblGrid>
      <w:tr>
        <w:tblPrEx>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kern w:val="0"/>
                <w:sz w:val="24"/>
              </w:rPr>
            </w:pPr>
            <w:r>
              <w:rPr>
                <w:rFonts w:ascii="??_GB2312" w:hAnsi="宋体" w:eastAsia="Times New Roman" w:cs="宋体"/>
                <w:b/>
                <w:bCs/>
                <w:kern w:val="0"/>
                <w:sz w:val="24"/>
              </w:rPr>
              <w:t>预算单位</w:t>
            </w:r>
          </w:p>
        </w:tc>
        <w:tc>
          <w:tcPr>
            <w:tcW w:w="330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_GB2312" w:hAnsi="宋体" w:eastAsia="宋体" w:cs="宋体"/>
                <w:kern w:val="0"/>
                <w:sz w:val="18"/>
                <w:szCs w:val="18"/>
                <w:lang w:eastAsia="zh-CN"/>
              </w:rPr>
            </w:pPr>
            <w:r>
              <w:rPr>
                <w:rFonts w:hint="eastAsia" w:ascii="宋体" w:hAnsi="宋体" w:cs="宋体"/>
                <w:kern w:val="0"/>
                <w:sz w:val="18"/>
                <w:szCs w:val="18"/>
                <w:lang w:eastAsia="zh-CN"/>
              </w:rPr>
              <w:t>克</w:t>
            </w:r>
            <w:r>
              <w:rPr>
                <w:rFonts w:hint="eastAsia" w:ascii="??_GB2312" w:hAnsi="宋体" w:eastAsia="Times New Roman" w:cs="宋体"/>
                <w:kern w:val="0"/>
                <w:sz w:val="18"/>
                <w:szCs w:val="18"/>
                <w:lang w:eastAsia="zh-CN"/>
              </w:rPr>
              <w:t>孜勒苏柯尔克孜自治州林业工作管理站（林业技术推广站）</w:t>
            </w:r>
          </w:p>
        </w:tc>
        <w:tc>
          <w:tcPr>
            <w:tcW w:w="1013" w:type="dxa"/>
            <w:gridSpan w:val="2"/>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b/>
                <w:bCs/>
                <w:kern w:val="0"/>
                <w:sz w:val="18"/>
                <w:szCs w:val="18"/>
              </w:rPr>
            </w:pPr>
            <w:r>
              <w:rPr>
                <w:rFonts w:ascii="??_GB2312" w:hAnsi="宋体" w:eastAsia="Times New Roman"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群众工作经费项目</w:t>
            </w:r>
          </w:p>
        </w:tc>
      </w:tr>
      <w:tr>
        <w:tblPrEx>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vAlign w:val="center"/>
          </w:tcPr>
          <w:p>
            <w:pPr>
              <w:widowControl/>
              <w:jc w:val="center"/>
              <w:rPr>
                <w:rFonts w:ascii="??_GB2312" w:hAnsi="宋体" w:eastAsia="Times New Roman" w:cs="宋体"/>
                <w:b/>
                <w:bCs/>
                <w:kern w:val="0"/>
                <w:sz w:val="24"/>
              </w:rPr>
            </w:pPr>
            <w:r>
              <w:rPr>
                <w:rFonts w:ascii="??_GB2312" w:hAnsi="宋体" w:eastAsia="Times New Roman" w:cs="宋体"/>
                <w:b/>
                <w:bCs/>
                <w:kern w:val="0"/>
                <w:sz w:val="24"/>
              </w:rPr>
              <w:t>项目资金（万元）</w:t>
            </w:r>
          </w:p>
        </w:tc>
        <w:tc>
          <w:tcPr>
            <w:tcW w:w="1186" w:type="dxa"/>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年度资金总额：</w:t>
            </w:r>
          </w:p>
        </w:tc>
        <w:tc>
          <w:tcPr>
            <w:tcW w:w="1103" w:type="dxa"/>
            <w:gridSpan w:val="2"/>
            <w:tcBorders>
              <w:top w:val="nil"/>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14万元</w:t>
            </w:r>
          </w:p>
        </w:tc>
        <w:tc>
          <w:tcPr>
            <w:tcW w:w="1020" w:type="dxa"/>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其中：财政拨款</w:t>
            </w:r>
          </w:p>
        </w:tc>
        <w:tc>
          <w:tcPr>
            <w:tcW w:w="1013" w:type="dxa"/>
            <w:gridSpan w:val="2"/>
            <w:tcBorders>
              <w:top w:val="nil"/>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14万元</w:t>
            </w:r>
          </w:p>
        </w:tc>
        <w:tc>
          <w:tcPr>
            <w:tcW w:w="1003" w:type="dxa"/>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其他资金</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w:t>
            </w:r>
          </w:p>
        </w:tc>
      </w:tr>
      <w:tr>
        <w:tblPrEx>
          <w:tblCellMar>
            <w:top w:w="0" w:type="dxa"/>
            <w:left w:w="108" w:type="dxa"/>
            <w:bottom w:w="0" w:type="dxa"/>
            <w:right w:w="108" w:type="dxa"/>
          </w:tblCellMar>
        </w:tblPrEx>
        <w:trPr>
          <w:trHeight w:val="1014"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b/>
                <w:bCs/>
                <w:kern w:val="0"/>
                <w:sz w:val="24"/>
              </w:rPr>
            </w:pPr>
            <w:r>
              <w:rPr>
                <w:rFonts w:ascii="??_GB2312" w:hAnsi="宋体" w:eastAsia="Times New Roman" w:cs="宋体"/>
                <w:b/>
                <w:bCs/>
                <w:kern w:val="0"/>
                <w:sz w:val="24"/>
              </w:rPr>
              <w:t>项目总体目标</w:t>
            </w:r>
          </w:p>
        </w:tc>
        <w:tc>
          <w:tcPr>
            <w:tcW w:w="6840" w:type="dxa"/>
            <w:gridSpan w:val="8"/>
            <w:tcBorders>
              <w:top w:val="nil"/>
              <w:left w:val="nil"/>
              <w:bottom w:val="single" w:color="000000" w:sz="4" w:space="0"/>
              <w:right w:val="single" w:color="000000" w:sz="4" w:space="0"/>
            </w:tcBorders>
          </w:tcPr>
          <w:p>
            <w:pPr>
              <w:widowControl/>
              <w:jc w:val="left"/>
              <w:rPr>
                <w:rFonts w:ascii="??_GB2312" w:hAnsi="宋体" w:eastAsia="Times New Roman" w:cs="宋体"/>
                <w:kern w:val="0"/>
                <w:sz w:val="18"/>
                <w:szCs w:val="18"/>
              </w:rPr>
            </w:pPr>
            <w:r>
              <w:rPr>
                <w:rFonts w:ascii="??_GB2312" w:hAnsi="宋体" w:eastAsia="Times New Roman" w:cs="宋体"/>
                <w:kern w:val="0"/>
                <w:sz w:val="18"/>
                <w:szCs w:val="18"/>
              </w:rPr>
              <w:t>　1.</w:t>
            </w:r>
            <w:r>
              <w:rPr>
                <w:rFonts w:hint="eastAsia" w:ascii="??_GB2312" w:hAnsi="宋体" w:cs="宋体"/>
                <w:kern w:val="0"/>
                <w:sz w:val="18"/>
                <w:szCs w:val="18"/>
                <w:lang w:val="en-US" w:eastAsia="zh-CN"/>
              </w:rPr>
              <w:t>工作队</w:t>
            </w:r>
            <w:r>
              <w:rPr>
                <w:rFonts w:ascii="??_GB2312" w:hAnsi="宋体" w:eastAsia="Times New Roman" w:cs="宋体"/>
                <w:kern w:val="0"/>
                <w:sz w:val="18"/>
                <w:szCs w:val="18"/>
              </w:rPr>
              <w:t>驻村点阿克陶县巴仁乡看克孜勒吾斯坦村开展群众工作经费。</w:t>
            </w:r>
          </w:p>
          <w:p>
            <w:pPr>
              <w:widowControl/>
              <w:ind w:firstLine="180" w:firstLineChars="100"/>
              <w:jc w:val="left"/>
              <w:rPr>
                <w:rFonts w:ascii="??_GB2312" w:hAnsi="宋体" w:eastAsia="Times New Roman" w:cs="宋体"/>
                <w:kern w:val="0"/>
                <w:sz w:val="18"/>
                <w:szCs w:val="18"/>
              </w:rPr>
            </w:pPr>
            <w:r>
              <w:rPr>
                <w:rFonts w:ascii="??_GB2312" w:hAnsi="宋体" w:eastAsia="Times New Roman" w:cs="宋体"/>
                <w:kern w:val="0"/>
                <w:sz w:val="18"/>
                <w:szCs w:val="18"/>
              </w:rPr>
              <w:t>2.通过开展群众工作，提升该村基层组织工作能力，改善村委会办公基础条件。</w:t>
            </w:r>
          </w:p>
        </w:tc>
      </w:tr>
      <w:tr>
        <w:tblPrEx>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b/>
                <w:bCs/>
                <w:kern w:val="0"/>
                <w:sz w:val="24"/>
              </w:rPr>
            </w:pPr>
            <w:r>
              <w:rPr>
                <w:rFonts w:ascii="??_GB2312" w:hAnsi="宋体" w:eastAsia="Times New Roman" w:cs="宋体"/>
                <w:b/>
                <w:bCs/>
                <w:kern w:val="0"/>
                <w:sz w:val="24"/>
              </w:rPr>
              <w:t>一级指标</w:t>
            </w:r>
          </w:p>
        </w:tc>
        <w:tc>
          <w:tcPr>
            <w:tcW w:w="1508" w:type="dxa"/>
            <w:gridSpan w:val="2"/>
            <w:tcBorders>
              <w:top w:val="nil"/>
              <w:left w:val="nil"/>
              <w:bottom w:val="single" w:color="000000" w:sz="4" w:space="0"/>
              <w:right w:val="single" w:color="000000" w:sz="4" w:space="0"/>
            </w:tcBorders>
            <w:vAlign w:val="center"/>
          </w:tcPr>
          <w:p>
            <w:pPr>
              <w:widowControl/>
              <w:jc w:val="center"/>
              <w:rPr>
                <w:rFonts w:ascii="??_GB2312" w:hAnsi="宋体" w:eastAsia="Times New Roman" w:cs="宋体"/>
                <w:b/>
                <w:bCs/>
                <w:kern w:val="0"/>
                <w:sz w:val="18"/>
                <w:szCs w:val="18"/>
              </w:rPr>
            </w:pPr>
            <w:r>
              <w:rPr>
                <w:rFonts w:ascii="??_GB2312" w:hAnsi="宋体" w:eastAsia="Times New Roman"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b/>
                <w:bCs/>
                <w:kern w:val="0"/>
                <w:sz w:val="18"/>
                <w:szCs w:val="18"/>
              </w:rPr>
            </w:pPr>
            <w:r>
              <w:rPr>
                <w:rFonts w:ascii="??_GB2312" w:hAnsi="宋体" w:eastAsia="Times New Roman"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b/>
                <w:bCs/>
                <w:kern w:val="0"/>
                <w:sz w:val="18"/>
                <w:szCs w:val="18"/>
              </w:rPr>
            </w:pPr>
            <w:r>
              <w:rPr>
                <w:rFonts w:ascii="??_GB2312" w:hAnsi="宋体" w:eastAsia="Times New Roman" w:cs="宋体"/>
                <w:b/>
                <w:bCs/>
                <w:kern w:val="0"/>
                <w:sz w:val="18"/>
                <w:szCs w:val="18"/>
              </w:rPr>
              <w:t>指标值（包含数字及文字描述）</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24"/>
              </w:rPr>
            </w:pPr>
            <w:r>
              <w:rPr>
                <w:rFonts w:ascii="??_GB2312" w:hAnsi="宋体" w:eastAsia="Times New Roman" w:cs="宋体"/>
                <w:kern w:val="0"/>
                <w:sz w:val="24"/>
              </w:rPr>
              <w:t>项目完成指标</w:t>
            </w:r>
          </w:p>
        </w:tc>
        <w:tc>
          <w:tcPr>
            <w:tcW w:w="1508"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成本指标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按大中小村不同标准，中村每村补助</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7万元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开始时间</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2019年1月</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结束时间</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2019年12月</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改善村委会办公面积</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开展群众工作补助人员</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≥12人</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提升村干部工作效率</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≥80%</w:t>
            </w:r>
          </w:p>
        </w:tc>
      </w:tr>
      <w:tr>
        <w:tblPrEx>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24"/>
              </w:rPr>
            </w:pPr>
            <w:r>
              <w:rPr>
                <w:rFonts w:ascii="??_GB2312" w:hAnsi="宋体" w:eastAsia="Times New Roman" w:cs="宋体"/>
                <w:kern w:val="0"/>
                <w:sz w:val="24"/>
              </w:rPr>
              <w:t>项目效益指标</w:t>
            </w:r>
          </w:p>
        </w:tc>
        <w:tc>
          <w:tcPr>
            <w:tcW w:w="1508"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带动贫困人口增收</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人均收入增收200元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416户2124人</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≥200元</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提升基层组织服务意识</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≥80%</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restart"/>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受益村委会干部人数</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xml:space="preserve">    ≥16人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18"/>
                <w:szCs w:val="18"/>
              </w:rPr>
            </w:pP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受益村民人口数量</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xml:space="preserve">   ≥3844人　</w:t>
            </w:r>
          </w:p>
        </w:tc>
      </w:tr>
      <w:tr>
        <w:tblPrEx>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_GB2312" w:hAnsi="宋体" w:eastAsia="Times New Roman" w:cs="宋体"/>
                <w:kern w:val="0"/>
                <w:sz w:val="24"/>
              </w:rPr>
            </w:pPr>
          </w:p>
        </w:tc>
        <w:tc>
          <w:tcPr>
            <w:tcW w:w="1508" w:type="dxa"/>
            <w:gridSpan w:val="2"/>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村委会环境改善程度</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≥85%</w:t>
            </w:r>
          </w:p>
        </w:tc>
      </w:tr>
      <w:tr>
        <w:tblPrEx>
          <w:tblCellMar>
            <w:top w:w="0" w:type="dxa"/>
            <w:left w:w="108" w:type="dxa"/>
            <w:bottom w:w="0" w:type="dxa"/>
            <w:right w:w="108" w:type="dxa"/>
          </w:tblCellMar>
        </w:tblPrEx>
        <w:trPr>
          <w:trHeight w:val="413" w:hRule="atLeast"/>
        </w:trPr>
        <w:tc>
          <w:tcPr>
            <w:tcW w:w="1664" w:type="dxa"/>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24"/>
              </w:rPr>
            </w:pPr>
            <w:r>
              <w:rPr>
                <w:rFonts w:ascii="??_GB2312" w:hAnsi="宋体" w:eastAsia="Times New Roman" w:cs="宋体"/>
                <w:kern w:val="0"/>
                <w:sz w:val="24"/>
              </w:rPr>
              <w:t>满意度指标</w:t>
            </w:r>
          </w:p>
        </w:tc>
        <w:tc>
          <w:tcPr>
            <w:tcW w:w="1508" w:type="dxa"/>
            <w:gridSpan w:val="2"/>
            <w:tcBorders>
              <w:top w:val="nil"/>
              <w:left w:val="single" w:color="000000" w:sz="4" w:space="0"/>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群众满意度</w:t>
            </w:r>
          </w:p>
        </w:tc>
        <w:tc>
          <w:tcPr>
            <w:tcW w:w="2978" w:type="dxa"/>
            <w:gridSpan w:val="3"/>
            <w:tcBorders>
              <w:top w:val="single" w:color="000000" w:sz="4" w:space="0"/>
              <w:left w:val="nil"/>
              <w:bottom w:val="single" w:color="000000" w:sz="4" w:space="0"/>
              <w:right w:val="single" w:color="000000" w:sz="4" w:space="0"/>
            </w:tcBorders>
            <w:vAlign w:val="center"/>
          </w:tcPr>
          <w:p>
            <w:pPr>
              <w:widowControl/>
              <w:jc w:val="center"/>
              <w:rPr>
                <w:rFonts w:ascii="??_GB2312" w:hAnsi="宋体" w:eastAsia="Times New Roman" w:cs="宋体"/>
                <w:kern w:val="0"/>
                <w:sz w:val="18"/>
                <w:szCs w:val="18"/>
              </w:rPr>
            </w:pPr>
            <w:r>
              <w:rPr>
                <w:rFonts w:ascii="??_GB2312" w:hAnsi="宋体" w:eastAsia="Times New Roman" w:cs="宋体"/>
                <w:kern w:val="0"/>
                <w:sz w:val="18"/>
                <w:szCs w:val="18"/>
              </w:rPr>
              <w:t>　　≥90%</w:t>
            </w:r>
          </w:p>
        </w:tc>
      </w:tr>
    </w:tbl>
    <w:p>
      <w:pPr>
        <w:tabs>
          <w:tab w:val="left" w:pos="223"/>
        </w:tabs>
      </w:pPr>
    </w:p>
    <w:p>
      <w:pPr>
        <w:widowControl/>
        <w:spacing w:line="56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r>
        <w:rPr>
          <w:rFonts w:ascii="??_GB2312" w:hAnsi="宋体" w:eastAsia="Times New Roman" w:cs="宋体"/>
          <w:kern w:val="0"/>
          <w:sz w:val="32"/>
          <w:szCs w:val="32"/>
        </w:rPr>
        <w:t xml:space="preserve"> </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_GB2312" w:eastAsia="Times New Roman"/>
          <w:sz w:val="32"/>
          <w:szCs w:val="32"/>
        </w:rPr>
      </w:pPr>
      <w:r>
        <w:rPr>
          <w:rFonts w:hint="eastAsia" w:ascii="黑体" w:hAnsi="黑体" w:eastAsia="黑体"/>
          <w:sz w:val="32"/>
          <w:szCs w:val="32"/>
        </w:rPr>
        <w:t>一、财政拨款：</w:t>
      </w:r>
      <w:r>
        <w:rPr>
          <w:rFonts w:ascii="??_GB2312" w:eastAsia="Times New Roman"/>
          <w:sz w:val="32"/>
          <w:szCs w:val="32"/>
        </w:rPr>
        <w:t>指由一般公共预算、政府性基金预算安排的财政拨款数。</w:t>
      </w:r>
    </w:p>
    <w:p>
      <w:pPr>
        <w:spacing w:line="550" w:lineRule="exact"/>
        <w:ind w:firstLine="642"/>
        <w:rPr>
          <w:rFonts w:ascii="??_GB2312" w:eastAsia="Times New Roman"/>
          <w:sz w:val="32"/>
          <w:szCs w:val="32"/>
        </w:rPr>
      </w:pPr>
      <w:r>
        <w:rPr>
          <w:rFonts w:hint="eastAsia" w:ascii="黑体" w:hAnsi="黑体" w:eastAsia="黑体"/>
          <w:sz w:val="32"/>
          <w:szCs w:val="32"/>
        </w:rPr>
        <w:t>二、一般公共预算：</w:t>
      </w:r>
      <w:r>
        <w:rPr>
          <w:rFonts w:ascii="??_GB2312" w:eastAsia="Times New Roman"/>
          <w:sz w:val="32"/>
          <w:szCs w:val="32"/>
        </w:rPr>
        <w:t>包括公共财政拨款（补助）资金、专项收入。</w:t>
      </w:r>
    </w:p>
    <w:p>
      <w:pPr>
        <w:spacing w:line="550" w:lineRule="exact"/>
        <w:ind w:firstLine="642"/>
        <w:rPr>
          <w:rFonts w:ascii="??_GB2312" w:eastAsia="Times New Roman"/>
          <w:sz w:val="32"/>
          <w:szCs w:val="32"/>
        </w:rPr>
      </w:pPr>
      <w:r>
        <w:rPr>
          <w:rFonts w:hint="eastAsia" w:ascii="黑体" w:hAnsi="黑体" w:eastAsia="黑体"/>
          <w:sz w:val="32"/>
          <w:szCs w:val="32"/>
        </w:rPr>
        <w:t>三、财政专户管理资金：</w:t>
      </w:r>
      <w:r>
        <w:rPr>
          <w:rFonts w:ascii="??_GB2312" w:eastAsia="Times New Roman"/>
          <w:sz w:val="32"/>
          <w:szCs w:val="32"/>
        </w:rPr>
        <w:t>包括专户管理行政事业性收费（主要是教育收费）、其他非税收入。</w:t>
      </w:r>
    </w:p>
    <w:p>
      <w:pPr>
        <w:spacing w:line="550" w:lineRule="exact"/>
        <w:ind w:firstLine="642"/>
        <w:rPr>
          <w:rFonts w:ascii="??_GB2312" w:eastAsia="Times New Roman"/>
          <w:sz w:val="32"/>
          <w:szCs w:val="32"/>
        </w:rPr>
      </w:pPr>
      <w:r>
        <w:rPr>
          <w:rFonts w:hint="eastAsia" w:ascii="黑体" w:hAnsi="黑体" w:eastAsia="黑体"/>
          <w:sz w:val="32"/>
          <w:szCs w:val="32"/>
        </w:rPr>
        <w:t>四、其他资金：</w:t>
      </w:r>
      <w:r>
        <w:rPr>
          <w:rFonts w:ascii="??_GB2312" w:eastAsia="Times New Roman"/>
          <w:sz w:val="32"/>
          <w:szCs w:val="32"/>
        </w:rPr>
        <w:t>包括事业收入、经营收入、其他收入等。</w:t>
      </w:r>
    </w:p>
    <w:p>
      <w:pPr>
        <w:spacing w:line="550" w:lineRule="exact"/>
        <w:ind w:firstLine="642"/>
        <w:rPr>
          <w:rFonts w:ascii="??_GB2312" w:eastAsia="Times New Roman"/>
          <w:sz w:val="32"/>
          <w:szCs w:val="32"/>
        </w:rPr>
      </w:pPr>
      <w:r>
        <w:rPr>
          <w:rFonts w:hint="eastAsia" w:ascii="黑体" w:hAnsi="黑体" w:eastAsia="黑体"/>
          <w:sz w:val="32"/>
          <w:szCs w:val="32"/>
        </w:rPr>
        <w:t>五、基本支出：</w:t>
      </w:r>
      <w:r>
        <w:rPr>
          <w:rFonts w:ascii="??_GB2312" w:eastAsia="Times New Roman"/>
          <w:sz w:val="32"/>
          <w:szCs w:val="32"/>
        </w:rPr>
        <w:t>包括人员经费、商品和服务支出（定额）。其中，人员经费包括工资福利支出、对个人和家庭的补助。</w:t>
      </w:r>
    </w:p>
    <w:p>
      <w:pPr>
        <w:spacing w:line="550" w:lineRule="exact"/>
        <w:ind w:firstLine="642"/>
        <w:rPr>
          <w:rFonts w:ascii="??_GB2312" w:eastAsia="Times New Roman"/>
          <w:sz w:val="32"/>
          <w:szCs w:val="32"/>
        </w:rPr>
      </w:pPr>
      <w:r>
        <w:rPr>
          <w:rFonts w:hint="eastAsia" w:ascii="黑体" w:hAnsi="黑体" w:eastAsia="黑体"/>
          <w:sz w:val="32"/>
          <w:szCs w:val="32"/>
        </w:rPr>
        <w:t>六、项目支出：</w:t>
      </w:r>
      <w:r>
        <w:rPr>
          <w:rFonts w:ascii="??_GB2312" w:eastAsia="Times New Roman"/>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_GB2312" w:eastAsia="Times New Roman"/>
          <w:sz w:val="32"/>
          <w:szCs w:val="32"/>
        </w:rPr>
      </w:pPr>
      <w:r>
        <w:rPr>
          <w:rFonts w:hint="eastAsia" w:ascii="黑体" w:hAnsi="黑体" w:eastAsia="黑体"/>
          <w:sz w:val="32"/>
          <w:szCs w:val="32"/>
        </w:rPr>
        <w:t>七、“三公”经费：</w:t>
      </w:r>
      <w:r>
        <w:rPr>
          <w:rFonts w:ascii="??_GB2312" w:eastAsia="Times New Roman"/>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_GB2312" w:eastAsia="Times New Roman"/>
          <w:sz w:val="32"/>
          <w:szCs w:val="32"/>
        </w:rPr>
      </w:pPr>
      <w:r>
        <w:rPr>
          <w:rFonts w:hint="eastAsia" w:ascii="黑体" w:hAnsi="黑体" w:eastAsia="黑体"/>
          <w:sz w:val="32"/>
          <w:szCs w:val="32"/>
        </w:rPr>
        <w:t>八、机关运行经费：</w:t>
      </w:r>
      <w:r>
        <w:rPr>
          <w:rFonts w:ascii="??_GB2312" w:eastAsia="Times New Roman"/>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jc w:val="left"/>
        <w:rPr>
          <w:rFonts w:ascii="??_GB2312" w:hAnsi="宋体" w:eastAsia="Times New Roman" w:cs="宋体"/>
          <w:kern w:val="0"/>
          <w:sz w:val="32"/>
          <w:szCs w:val="32"/>
        </w:rPr>
      </w:pPr>
      <w:r>
        <w:rPr>
          <w:rFonts w:ascii="??_GB2312" w:hAnsi="宋体" w:eastAsia="Times New Roman" w:cs="宋体"/>
          <w:kern w:val="0"/>
          <w:sz w:val="32"/>
          <w:szCs w:val="32"/>
        </w:rPr>
        <w:t xml:space="preserve">     </w:t>
      </w:r>
    </w:p>
    <w:p>
      <w:pPr>
        <w:widowControl/>
        <w:spacing w:line="560" w:lineRule="exact"/>
        <w:jc w:val="left"/>
        <w:rPr>
          <w:rFonts w:ascii="??_GB2312" w:hAnsi="宋体" w:eastAsia="Times New Roman" w:cs="宋体"/>
          <w:kern w:val="0"/>
          <w:sz w:val="32"/>
          <w:szCs w:val="32"/>
        </w:rPr>
      </w:pPr>
    </w:p>
    <w:p>
      <w:pPr>
        <w:widowControl/>
        <w:spacing w:line="560" w:lineRule="exact"/>
        <w:jc w:val="left"/>
        <w:rPr>
          <w:rFonts w:ascii="??_GB2312" w:hAnsi="宋体" w:eastAsia="Times New Roman" w:cs="宋体"/>
          <w:kern w:val="0"/>
          <w:sz w:val="32"/>
          <w:szCs w:val="32"/>
        </w:rPr>
      </w:pPr>
    </w:p>
    <w:p>
      <w:pPr>
        <w:widowControl/>
        <w:spacing w:line="560" w:lineRule="exact"/>
        <w:jc w:val="left"/>
        <w:rPr>
          <w:rFonts w:ascii="??_GB2312" w:hAnsi="宋体" w:eastAsia="Times New Roman" w:cs="宋体"/>
          <w:kern w:val="0"/>
          <w:sz w:val="32"/>
          <w:szCs w:val="32"/>
        </w:rPr>
      </w:pPr>
    </w:p>
    <w:p>
      <w:pPr>
        <w:widowControl/>
        <w:spacing w:line="560" w:lineRule="exact"/>
        <w:jc w:val="right"/>
        <w:rPr>
          <w:rFonts w:ascii="??_GB2312" w:hAnsi="宋体" w:eastAsia="Times New Roman" w:cs="宋体"/>
          <w:kern w:val="0"/>
          <w:sz w:val="32"/>
          <w:szCs w:val="32"/>
        </w:rPr>
      </w:pPr>
    </w:p>
    <w:p>
      <w:pPr>
        <w:widowControl/>
        <w:spacing w:line="560" w:lineRule="exact"/>
        <w:ind w:left="31680" w:hanging="4960" w:hangingChars="1550"/>
        <w:jc w:val="right"/>
        <w:rPr>
          <w:rFonts w:ascii="??_GB2312" w:hAnsi="宋体" w:eastAsia="Times New Roman" w:cs="宋体"/>
          <w:kern w:val="0"/>
          <w:sz w:val="32"/>
          <w:szCs w:val="32"/>
        </w:rPr>
      </w:pPr>
      <w:r>
        <w:rPr>
          <w:rFonts w:ascii="??_GB2312" w:hAnsi="宋体" w:eastAsia="Times New Roman" w:cs="宋体"/>
          <w:kern w:val="0"/>
          <w:sz w:val="32"/>
          <w:szCs w:val="32"/>
        </w:rPr>
        <w:t>克孜勒苏柯尔克孜自治州林业工作理站</w:t>
      </w:r>
    </w:p>
    <w:p>
      <w:pPr>
        <w:widowControl/>
        <w:spacing w:line="560" w:lineRule="exact"/>
        <w:ind w:left="31680" w:hanging="4960" w:hangingChars="1550"/>
        <w:jc w:val="center"/>
        <w:rPr>
          <w:rFonts w:hint="eastAsia" w:ascii="??_GB2312" w:hAnsi="宋体" w:eastAsia="宋体" w:cs="宋体"/>
          <w:kern w:val="0"/>
          <w:sz w:val="32"/>
          <w:szCs w:val="32"/>
          <w:lang w:eastAsia="zh-CN"/>
        </w:rPr>
      </w:pPr>
      <w:r>
        <w:rPr>
          <w:rFonts w:hint="eastAsia" w:ascii="??_GB2312" w:hAnsi="宋体" w:cs="宋体"/>
          <w:kern w:val="0"/>
          <w:sz w:val="32"/>
          <w:szCs w:val="32"/>
          <w:lang w:val="en-US" w:eastAsia="zh-CN"/>
        </w:rPr>
        <w:t xml:space="preserve">               </w:t>
      </w:r>
      <w:r>
        <w:rPr>
          <w:rFonts w:hint="eastAsia" w:ascii="??_GB2312" w:hAnsi="宋体" w:cs="宋体"/>
          <w:kern w:val="0"/>
          <w:sz w:val="32"/>
          <w:szCs w:val="32"/>
          <w:lang w:eastAsia="zh-CN"/>
        </w:rPr>
        <w:t>（</w:t>
      </w:r>
      <w:r>
        <w:rPr>
          <w:rFonts w:hint="eastAsia" w:ascii="??_GB2312" w:hAnsi="宋体" w:cs="宋体"/>
          <w:kern w:val="0"/>
          <w:sz w:val="32"/>
          <w:szCs w:val="32"/>
          <w:lang w:val="en-US" w:eastAsia="zh-CN"/>
        </w:rPr>
        <w:t>林业技术推广站</w:t>
      </w:r>
      <w:r>
        <w:rPr>
          <w:rFonts w:hint="eastAsia" w:ascii="??_GB2312" w:hAnsi="宋体" w:cs="宋体"/>
          <w:kern w:val="0"/>
          <w:sz w:val="32"/>
          <w:szCs w:val="32"/>
          <w:lang w:eastAsia="zh-CN"/>
        </w:rPr>
        <w:t>）</w:t>
      </w:r>
    </w:p>
    <w:p>
      <w:pPr>
        <w:widowControl/>
        <w:spacing w:line="560" w:lineRule="exact"/>
        <w:ind w:firstLine="4160" w:firstLineChars="1300"/>
        <w:jc w:val="both"/>
        <w:rPr>
          <w:rFonts w:ascii="??_GB2312" w:hAnsi="宋体" w:eastAsia="Times New Roman" w:cs="宋体"/>
          <w:kern w:val="0"/>
          <w:sz w:val="32"/>
          <w:szCs w:val="32"/>
        </w:rPr>
      </w:pPr>
      <w:r>
        <w:rPr>
          <w:rFonts w:ascii="??_GB2312" w:hAnsi="宋体" w:eastAsia="Times New Roman" w:cs="宋体"/>
          <w:kern w:val="0"/>
          <w:sz w:val="32"/>
          <w:szCs w:val="32"/>
        </w:rPr>
        <w:t>2019年1月25日</w:t>
      </w:r>
    </w:p>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8"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pict>
        <v:shape id="_x0000_s4097" o:spid="_x0000_s4097" o:spt="202" type="#_x0000_t202" style="position:absolute;left:0pt;margin-top:0pt;height:144pt;width:144pt;mso-position-horizontal:in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rPr>
        <w:rFonts w:ascii="宋体" w:hAnsi="宋体" w:eastAsia="宋体"/>
        <w:sz w:val="28"/>
        <w:szCs w:val="28"/>
      </w:rPr>
    </w:pPr>
    <w:r>
      <w:pict>
        <v:shape id="_x0000_s4098" o:spid="_x0000_s409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ascii="??_GB2312" w:hAnsi="??_GB2312" w:eastAsia="Times New Roman" w:cs="??_GB2312"/>
                    <w:sz w:val="28"/>
                    <w:szCs w:val="28"/>
                  </w:rPr>
                  <w:fldChar w:fldCharType="begin"/>
                </w:r>
                <w:r>
                  <w:rPr>
                    <w:rFonts w:ascii="??_GB2312" w:hAnsi="??_GB2312" w:eastAsia="Times New Roman" w:cs="??_GB2312"/>
                    <w:sz w:val="28"/>
                    <w:szCs w:val="28"/>
                  </w:rPr>
                  <w:instrText xml:space="preserve"> PAGE  \* MERGEFORMAT </w:instrText>
                </w:r>
                <w:r>
                  <w:rPr>
                    <w:rFonts w:ascii="??_GB2312" w:hAnsi="??_GB2312" w:eastAsia="Times New Roman" w:cs="??_GB2312"/>
                    <w:sz w:val="28"/>
                    <w:szCs w:val="28"/>
                  </w:rPr>
                  <w:fldChar w:fldCharType="separate"/>
                </w:r>
                <w:r>
                  <w:rPr>
                    <w:rFonts w:ascii="??_GB2312" w:hAnsi="??_GB2312" w:eastAsia="Times New Roman" w:cs="??_GB2312"/>
                    <w:sz w:val="28"/>
                    <w:szCs w:val="28"/>
                  </w:rPr>
                  <w:t>- 2 -</w:t>
                </w:r>
                <w:r>
                  <w:rPr>
                    <w:rFonts w:ascii="??_GB2312" w:hAnsi="??_GB2312" w:eastAsia="Times New Roman" w:cs="??_GB2312"/>
                    <w:sz w:val="28"/>
                    <w:szCs w:val="28"/>
                  </w:rPr>
                  <w:fldChar w:fldCharType="end"/>
                </w:r>
              </w:p>
            </w:txbxContent>
          </v:textbox>
        </v:shape>
      </w:pict>
    </w:r>
    <w:r>
      <w:pict>
        <v:shape id="_x0000_s4099" o:spid="_x0000_s4099" o:spt="202" type="#_x0000_t202" style="position:absolute;left:0pt;margin-top:0pt;height:144pt;width:144pt;mso-position-horizontal:inside;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pict>
        <v:shape id="_x0000_s4100" o:spid="_x0000_s410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pict>
        <v:shape id="_x0000_s4101" o:spid="_x0000_s4101"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pict>
        <v:shape id="_x0000_s4102" o:spid="_x0000_s4102"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pict>
        <v:shape id="_x0000_s4103" o:spid="_x0000_s4103" o:spt="202" type="#_x0000_t202" style="position:absolute;left:0pt;margin-top:0pt;height:144pt;width:144pt;mso-position-horizontal:in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pict>
        <v:shape id="_x0000_s4104" o:spid="_x0000_s410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p>
            </w:txbxContent>
          </v:textbox>
        </v:shape>
      </w:pict>
    </w:r>
    <w:r>
      <w:rPr>
        <w:rFonts w:ascii="宋体" w:hAnsi="宋体" w:eastAsia="宋体"/>
        <w:sz w:val="28"/>
        <w:szCs w:val="28"/>
      </w:rPr>
      <w:tab/>
    </w:r>
    <w:r>
      <w:rPr>
        <w:rFonts w:ascii="宋体" w:hAnsi="宋体" w:eastAsia="宋体"/>
        <w:sz w:val="28"/>
        <w:szCs w:val="28"/>
      </w:rPr>
      <w:tab/>
    </w:r>
    <w:r>
      <w:rPr>
        <w:rFonts w:ascii="宋体" w:hAnsi="宋体" w:eastAsia="宋体"/>
        <w:sz w:val="28"/>
        <w:szCs w:val="28"/>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B4D94"/>
    <w:multiLevelType w:val="singleLevel"/>
    <w:tmpl w:val="947B4D94"/>
    <w:lvl w:ilvl="0" w:tentative="0">
      <w:start w:val="8"/>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144"/>
    <w:rsid w:val="0004355F"/>
    <w:rsid w:val="00096487"/>
    <w:rsid w:val="000A6C41"/>
    <w:rsid w:val="000D3B15"/>
    <w:rsid w:val="00137EDE"/>
    <w:rsid w:val="00172BEA"/>
    <w:rsid w:val="00230C17"/>
    <w:rsid w:val="00241CE2"/>
    <w:rsid w:val="00245D30"/>
    <w:rsid w:val="00274A13"/>
    <w:rsid w:val="002B5144"/>
    <w:rsid w:val="002D37CE"/>
    <w:rsid w:val="002D49B4"/>
    <w:rsid w:val="00314BA2"/>
    <w:rsid w:val="00325B17"/>
    <w:rsid w:val="00384B88"/>
    <w:rsid w:val="003C69AE"/>
    <w:rsid w:val="00430C91"/>
    <w:rsid w:val="00526156"/>
    <w:rsid w:val="00571422"/>
    <w:rsid w:val="005A1140"/>
    <w:rsid w:val="005D7BEF"/>
    <w:rsid w:val="006129CC"/>
    <w:rsid w:val="006C1DC7"/>
    <w:rsid w:val="006F7BCE"/>
    <w:rsid w:val="00745BC2"/>
    <w:rsid w:val="00782FE2"/>
    <w:rsid w:val="0079774D"/>
    <w:rsid w:val="007D43F7"/>
    <w:rsid w:val="007F4BB6"/>
    <w:rsid w:val="0082538B"/>
    <w:rsid w:val="008440CF"/>
    <w:rsid w:val="00862BB7"/>
    <w:rsid w:val="008D4524"/>
    <w:rsid w:val="009C26FA"/>
    <w:rsid w:val="009F66CA"/>
    <w:rsid w:val="00A005E2"/>
    <w:rsid w:val="00A1766E"/>
    <w:rsid w:val="00A248EF"/>
    <w:rsid w:val="00A31A11"/>
    <w:rsid w:val="00A457D3"/>
    <w:rsid w:val="00B53BA8"/>
    <w:rsid w:val="00BA7898"/>
    <w:rsid w:val="00BB12C1"/>
    <w:rsid w:val="00C05CB0"/>
    <w:rsid w:val="00C264CC"/>
    <w:rsid w:val="00C47E4C"/>
    <w:rsid w:val="00C97A8F"/>
    <w:rsid w:val="00D95552"/>
    <w:rsid w:val="00DE6C0F"/>
    <w:rsid w:val="00E2089C"/>
    <w:rsid w:val="00EB636E"/>
    <w:rsid w:val="00F0485A"/>
    <w:rsid w:val="00F04A18"/>
    <w:rsid w:val="00F1734A"/>
    <w:rsid w:val="00FC6ABD"/>
    <w:rsid w:val="00FD434B"/>
    <w:rsid w:val="034F0349"/>
    <w:rsid w:val="03F47565"/>
    <w:rsid w:val="04233C2C"/>
    <w:rsid w:val="04885ED3"/>
    <w:rsid w:val="0639663C"/>
    <w:rsid w:val="06FF35F2"/>
    <w:rsid w:val="07C262C6"/>
    <w:rsid w:val="084C5D66"/>
    <w:rsid w:val="0C8C60CF"/>
    <w:rsid w:val="0DA91F22"/>
    <w:rsid w:val="11A101D9"/>
    <w:rsid w:val="19F71708"/>
    <w:rsid w:val="1A1A38D6"/>
    <w:rsid w:val="1AD75249"/>
    <w:rsid w:val="1CDF4737"/>
    <w:rsid w:val="1DB92521"/>
    <w:rsid w:val="1E0E1FC6"/>
    <w:rsid w:val="267A5177"/>
    <w:rsid w:val="26CB6ED4"/>
    <w:rsid w:val="287D0FF5"/>
    <w:rsid w:val="29000A2B"/>
    <w:rsid w:val="2A6D49F3"/>
    <w:rsid w:val="313B0512"/>
    <w:rsid w:val="31666DF2"/>
    <w:rsid w:val="3386241E"/>
    <w:rsid w:val="3B244F1B"/>
    <w:rsid w:val="3E7666BD"/>
    <w:rsid w:val="40A63BE9"/>
    <w:rsid w:val="42340573"/>
    <w:rsid w:val="4425529E"/>
    <w:rsid w:val="46331E24"/>
    <w:rsid w:val="49543759"/>
    <w:rsid w:val="4A95166C"/>
    <w:rsid w:val="544A3187"/>
    <w:rsid w:val="58C317A5"/>
    <w:rsid w:val="5DB07EEE"/>
    <w:rsid w:val="5FA0312C"/>
    <w:rsid w:val="684E4258"/>
    <w:rsid w:val="742A464C"/>
    <w:rsid w:val="74922C62"/>
    <w:rsid w:val="758E2730"/>
    <w:rsid w:val="785D27EA"/>
    <w:rsid w:val="78B32052"/>
    <w:rsid w:val="7FB70A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eastAsia="黑体"/>
      <w:kern w:val="0"/>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99"/>
    <w:pPr>
      <w:pBdr>
        <w:top w:val="single" w:color="auto" w:sz="12" w:space="1"/>
        <w:bottom w:val="single" w:color="auto" w:sz="12" w:space="1"/>
      </w:pBdr>
      <w:spacing w:line="600" w:lineRule="exact"/>
      <w:ind w:left="1280" w:hanging="1280" w:hangingChars="400"/>
    </w:pPr>
    <w:rPr>
      <w:sz w:val="32"/>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customStyle="1" w:styleId="12">
    <w:name w:val="Balloon Text Char"/>
    <w:basedOn w:val="9"/>
    <w:link w:val="2"/>
    <w:semiHidden/>
    <w:locked/>
    <w:uiPriority w:val="99"/>
    <w:rPr>
      <w:rFonts w:ascii="Times New Roman" w:hAnsi="Times New Roman" w:eastAsia="宋体" w:cs="Times New Roman"/>
      <w:sz w:val="18"/>
      <w:szCs w:val="18"/>
    </w:rPr>
  </w:style>
  <w:style w:type="character" w:customStyle="1" w:styleId="13">
    <w:name w:val="Footer Char"/>
    <w:basedOn w:val="9"/>
    <w:link w:val="3"/>
    <w:qFormat/>
    <w:locked/>
    <w:uiPriority w:val="99"/>
    <w:rPr>
      <w:rFonts w:ascii="Times New Roman" w:hAnsi="Times New Roman" w:eastAsia="黑体" w:cs="Times New Roman"/>
      <w:snapToGrid w:val="0"/>
      <w:kern w:val="0"/>
      <w:sz w:val="18"/>
      <w:szCs w:val="18"/>
    </w:rPr>
  </w:style>
  <w:style w:type="character" w:customStyle="1" w:styleId="14">
    <w:name w:val="Header Char"/>
    <w:basedOn w:val="9"/>
    <w:link w:val="4"/>
    <w:locked/>
    <w:uiPriority w:val="99"/>
    <w:rPr>
      <w:rFonts w:ascii="Times New Roman" w:hAnsi="Times New Roman" w:eastAsia="宋体" w:cs="Times New Roman"/>
      <w:sz w:val="18"/>
      <w:szCs w:val="18"/>
    </w:rPr>
  </w:style>
  <w:style w:type="character" w:customStyle="1" w:styleId="15">
    <w:name w:val="Body Text Indent 3 Char"/>
    <w:basedOn w:val="9"/>
    <w:link w:val="5"/>
    <w:qFormat/>
    <w:locked/>
    <w:uiPriority w:val="99"/>
    <w:rPr>
      <w:rFonts w:ascii="Times New Roman" w:hAnsi="Times New Roman" w:eastAsia="Times New Roman" w:cs="Times New Roman"/>
      <w:sz w:val="24"/>
      <w:szCs w:val="24"/>
    </w:rPr>
  </w:style>
  <w:style w:type="paragraph" w:customStyle="1" w:styleId="16">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普通(网站)1"/>
    <w:basedOn w:val="1"/>
    <w:qFormat/>
    <w:uiPriority w:val="99"/>
    <w:rPr>
      <w:rFonts w:ascii="Calibri" w:hAnsi="Calibri" w:cs="黑体"/>
      <w:sz w:val="24"/>
    </w:rPr>
  </w:style>
  <w:style w:type="paragraph" w:customStyle="1" w:styleId="19">
    <w:name w:val="普通(网站)2"/>
    <w:basedOn w:val="1"/>
    <w:qFormat/>
    <w:uiPriority w:val="99"/>
    <w:rPr>
      <w:rFonts w:ascii="Calibri" w:hAnsi="Calibri" w:cs="黑体"/>
      <w:sz w:val="24"/>
    </w:rPr>
  </w:style>
  <w:style w:type="paragraph" w:customStyle="1" w:styleId="20">
    <w:name w:val="普通(网站)3"/>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23</Pages>
  <Words>1663</Words>
  <Characters>9480</Characters>
  <Lines>0</Lines>
  <Paragraphs>0</Paragraphs>
  <TotalTime>8</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2019-01-31T09:35:00Z</dcterms:created>
  <dc:creator>王怡</dc:creator>
  <cp:lastModifiedBy>Administrator</cp:lastModifiedBy>
  <cp:lastPrinted>2019-02-05T04:10:00Z</cp:lastPrinted>
  <dcterms:modified xsi:type="dcterms:W3CDTF">2021-05-20T04:09:05Z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