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7E2DDC" w:rsidRDefault="009E3606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克孜勒苏柯尔克孜自治州公共财政收支</w:t>
      </w:r>
    </w:p>
    <w:p w:rsidR="002E0523" w:rsidRDefault="009E3606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主要指标图表</w:t>
      </w: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2E0523">
      <w:pPr>
        <w:jc w:val="center"/>
        <w:rPr>
          <w:rFonts w:ascii="仿宋_GB2312" w:eastAsia="仿宋_GB2312"/>
          <w:b/>
          <w:sz w:val="32"/>
          <w:szCs w:val="32"/>
        </w:rPr>
      </w:pPr>
    </w:p>
    <w:p w:rsidR="007E2DDC" w:rsidRDefault="007E2DDC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Default="009E360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克孜勒苏柯尔克孜自治州财政局</w:t>
      </w:r>
    </w:p>
    <w:p w:rsidR="002E0523" w:rsidRDefault="009E360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 w:rsidR="00AD2CF4">
        <w:rPr>
          <w:rFonts w:ascii="仿宋_GB2312" w:eastAsia="仿宋_GB2312" w:hint="eastAsia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年1月</w:t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sz w:val="32"/>
          <w:szCs w:val="32"/>
        </w:rPr>
        <w:lastRenderedPageBreak/>
        <w:t>图一：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201</w:t>
      </w:r>
      <w:r w:rsidR="00A26BB7" w:rsidRPr="001468E6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年—2018年一般公共预算收入</w:t>
      </w:r>
      <w:r w:rsidR="00A26BB7"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091BB9" w:rsidP="00A26BB7">
      <w:pPr>
        <w:jc w:val="center"/>
        <w:rPr>
          <w:rFonts w:ascii="仿宋_GB2312" w:eastAsia="仿宋_GB2312"/>
          <w:b/>
          <w:sz w:val="32"/>
          <w:szCs w:val="32"/>
        </w:rPr>
      </w:pPr>
      <w:r w:rsidRPr="00091BB9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193030" cy="2895600"/>
            <wp:effectExtent l="19050" t="0" r="26670" b="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图二：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6年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—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2018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年一般公共预算收入</w:t>
      </w:r>
      <w:r w:rsidR="008705BD" w:rsidRPr="001468E6">
        <w:rPr>
          <w:rFonts w:ascii="楷体_GB2312" w:eastAsia="楷体_GB2312" w:hAnsi="宋体" w:hint="eastAsia"/>
          <w:b/>
          <w:bCs/>
          <w:sz w:val="32"/>
          <w:szCs w:val="32"/>
        </w:rPr>
        <w:t>增长率变动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091BB9" w:rsidP="001E6D56">
      <w:pPr>
        <w:jc w:val="center"/>
        <w:rPr>
          <w:rFonts w:ascii="仿宋_GB2312" w:eastAsia="仿宋_GB2312"/>
          <w:b/>
          <w:sz w:val="32"/>
          <w:szCs w:val="32"/>
        </w:rPr>
      </w:pPr>
      <w:r w:rsidRPr="00091BB9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199380" cy="3064933"/>
            <wp:effectExtent l="19050" t="0" r="20320" b="2117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05BD" w:rsidRDefault="008705BD" w:rsidP="008705BD">
      <w:pPr>
        <w:spacing w:line="560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近年来，克州财政一般公共预算收入不断增长，收入总量不断增加</w:t>
      </w:r>
      <w:r w:rsidR="00CB09B5">
        <w:rPr>
          <w:rFonts w:ascii="仿宋_GB2312" w:eastAsia="仿宋_GB2312" w:hint="eastAsia"/>
          <w:spacing w:val="-20"/>
          <w:sz w:val="30"/>
          <w:szCs w:val="30"/>
        </w:rPr>
        <w:t>。</w:t>
      </w:r>
      <w:r>
        <w:rPr>
          <w:rFonts w:ascii="仿宋_GB2312" w:eastAsia="仿宋_GB2312"/>
          <w:spacing w:val="-20"/>
          <w:sz w:val="30"/>
          <w:szCs w:val="30"/>
        </w:rPr>
        <w:t>2016</w:t>
      </w:r>
      <w:r>
        <w:rPr>
          <w:rFonts w:ascii="仿宋_GB2312" w:eastAsia="仿宋_GB2312" w:hint="eastAsia"/>
          <w:spacing w:val="-20"/>
          <w:sz w:val="30"/>
          <w:szCs w:val="30"/>
        </w:rPr>
        <w:t>年</w:t>
      </w:r>
      <w:r w:rsidR="006D211A">
        <w:rPr>
          <w:rFonts w:ascii="仿宋_GB2312" w:eastAsia="仿宋_GB2312" w:hint="eastAsia"/>
          <w:spacing w:val="-20"/>
          <w:sz w:val="30"/>
          <w:szCs w:val="30"/>
        </w:rPr>
        <w:t>完成115945万元，</w:t>
      </w:r>
      <w:r>
        <w:rPr>
          <w:rFonts w:ascii="仿宋_GB2312" w:eastAsia="仿宋_GB2312" w:hint="eastAsia"/>
          <w:spacing w:val="-20"/>
          <w:sz w:val="30"/>
          <w:szCs w:val="30"/>
        </w:rPr>
        <w:t>增长</w:t>
      </w:r>
      <w:r>
        <w:rPr>
          <w:rFonts w:ascii="仿宋_GB2312" w:eastAsia="仿宋_GB2312"/>
          <w:spacing w:val="-20"/>
          <w:sz w:val="30"/>
          <w:szCs w:val="30"/>
        </w:rPr>
        <w:t>5.67%</w:t>
      </w:r>
      <w:r w:rsidR="006D211A">
        <w:rPr>
          <w:rFonts w:ascii="仿宋_GB2312" w:eastAsia="仿宋_GB2312" w:hint="eastAsia"/>
          <w:spacing w:val="-20"/>
          <w:sz w:val="30"/>
          <w:szCs w:val="30"/>
        </w:rPr>
        <w:t>；</w:t>
      </w:r>
      <w:r>
        <w:rPr>
          <w:rFonts w:ascii="仿宋_GB2312" w:eastAsia="仿宋_GB2312"/>
          <w:spacing w:val="-20"/>
          <w:sz w:val="30"/>
          <w:szCs w:val="30"/>
        </w:rPr>
        <w:t>2017</w:t>
      </w:r>
      <w:r>
        <w:rPr>
          <w:rFonts w:ascii="仿宋_GB2312" w:eastAsia="仿宋_GB2312" w:hint="eastAsia"/>
          <w:spacing w:val="-20"/>
          <w:sz w:val="30"/>
          <w:szCs w:val="30"/>
        </w:rPr>
        <w:t>年</w:t>
      </w:r>
      <w:r w:rsidR="006D211A">
        <w:rPr>
          <w:rFonts w:ascii="仿宋_GB2312" w:eastAsia="仿宋_GB2312" w:hint="eastAsia"/>
          <w:spacing w:val="-20"/>
          <w:sz w:val="30"/>
          <w:szCs w:val="30"/>
        </w:rPr>
        <w:t>完成126383万元，</w:t>
      </w:r>
      <w:r>
        <w:rPr>
          <w:rFonts w:ascii="仿宋_GB2312" w:eastAsia="仿宋_GB2312" w:hint="eastAsia"/>
          <w:spacing w:val="-20"/>
          <w:sz w:val="30"/>
          <w:szCs w:val="30"/>
        </w:rPr>
        <w:t>增长</w:t>
      </w:r>
      <w:r>
        <w:rPr>
          <w:rFonts w:ascii="仿宋_GB2312" w:eastAsia="仿宋_GB2312"/>
          <w:spacing w:val="-20"/>
          <w:sz w:val="30"/>
          <w:szCs w:val="30"/>
        </w:rPr>
        <w:t>9%</w:t>
      </w:r>
      <w:r>
        <w:rPr>
          <w:rFonts w:ascii="仿宋_GB2312" w:eastAsia="仿宋_GB2312" w:hint="eastAsia"/>
          <w:spacing w:val="-20"/>
          <w:sz w:val="30"/>
          <w:szCs w:val="30"/>
        </w:rPr>
        <w:t>，</w:t>
      </w:r>
      <w:r>
        <w:rPr>
          <w:rFonts w:ascii="仿宋_GB2312" w:eastAsia="仿宋_GB2312"/>
          <w:spacing w:val="-20"/>
          <w:sz w:val="30"/>
          <w:szCs w:val="30"/>
        </w:rPr>
        <w:t>2018</w:t>
      </w:r>
      <w:r>
        <w:rPr>
          <w:rFonts w:ascii="仿宋_GB2312" w:eastAsia="仿宋_GB2312" w:hint="eastAsia"/>
          <w:spacing w:val="-20"/>
          <w:sz w:val="30"/>
          <w:szCs w:val="30"/>
        </w:rPr>
        <w:t>年</w:t>
      </w:r>
      <w:r w:rsidR="006D211A">
        <w:rPr>
          <w:rFonts w:ascii="仿宋_GB2312" w:eastAsia="仿宋_GB2312" w:hint="eastAsia"/>
          <w:spacing w:val="-20"/>
          <w:sz w:val="30"/>
          <w:szCs w:val="30"/>
        </w:rPr>
        <w:t>完成1390</w:t>
      </w:r>
      <w:r w:rsidR="00981CA1">
        <w:rPr>
          <w:rFonts w:ascii="仿宋_GB2312" w:eastAsia="仿宋_GB2312" w:hint="eastAsia"/>
          <w:spacing w:val="-20"/>
          <w:sz w:val="30"/>
          <w:szCs w:val="30"/>
        </w:rPr>
        <w:t>54</w:t>
      </w:r>
      <w:r w:rsidR="006D211A">
        <w:rPr>
          <w:rFonts w:ascii="仿宋_GB2312" w:eastAsia="仿宋_GB2312" w:hint="eastAsia"/>
          <w:spacing w:val="-20"/>
          <w:sz w:val="30"/>
          <w:szCs w:val="30"/>
        </w:rPr>
        <w:t>万元，</w:t>
      </w:r>
      <w:r>
        <w:rPr>
          <w:rFonts w:ascii="仿宋_GB2312" w:eastAsia="仿宋_GB2312" w:hint="eastAsia"/>
          <w:spacing w:val="-20"/>
          <w:sz w:val="30"/>
          <w:szCs w:val="30"/>
        </w:rPr>
        <w:t>增长</w:t>
      </w:r>
      <w:r>
        <w:rPr>
          <w:rFonts w:ascii="仿宋_GB2312" w:eastAsia="仿宋_GB2312"/>
          <w:spacing w:val="-20"/>
          <w:sz w:val="30"/>
          <w:szCs w:val="30"/>
        </w:rPr>
        <w:t>10</w:t>
      </w:r>
      <w:r w:rsidR="00981CA1">
        <w:rPr>
          <w:rFonts w:ascii="仿宋_GB2312" w:eastAsia="仿宋_GB2312" w:hint="eastAsia"/>
          <w:spacing w:val="-20"/>
          <w:sz w:val="30"/>
          <w:szCs w:val="30"/>
        </w:rPr>
        <w:t>.03</w:t>
      </w:r>
      <w:r>
        <w:rPr>
          <w:rFonts w:ascii="仿宋_GB2312" w:eastAsia="仿宋_GB2312"/>
          <w:spacing w:val="-20"/>
          <w:sz w:val="30"/>
          <w:szCs w:val="30"/>
        </w:rPr>
        <w:t>%</w:t>
      </w:r>
      <w:r w:rsidR="00CB09B5">
        <w:rPr>
          <w:rFonts w:ascii="仿宋_GB2312" w:eastAsia="仿宋_GB2312" w:hint="eastAsia"/>
          <w:spacing w:val="-20"/>
          <w:sz w:val="30"/>
          <w:szCs w:val="30"/>
        </w:rPr>
        <w:t>，财政收入逐年增长。</w:t>
      </w:r>
    </w:p>
    <w:p w:rsidR="002E0523" w:rsidRPr="001468E6" w:rsidRDefault="009E3606" w:rsidP="00916026">
      <w:pPr>
        <w:spacing w:line="56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图三：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</w:t>
      </w:r>
      <w:r w:rsidR="008705BD" w:rsidRPr="001468E6">
        <w:rPr>
          <w:rFonts w:ascii="楷体_GB2312" w:eastAsia="楷体_GB2312" w:hAnsi="宋体" w:hint="eastAsia"/>
          <w:b/>
          <w:bCs/>
          <w:sz w:val="32"/>
          <w:szCs w:val="32"/>
        </w:rPr>
        <w:t>6年-2018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</w:t>
      </w:r>
      <w:r w:rsidR="008705BD" w:rsidRPr="001468E6">
        <w:rPr>
          <w:rFonts w:ascii="楷体_GB2312" w:eastAsia="楷体_GB2312" w:hAnsi="宋体" w:hint="eastAsia"/>
          <w:b/>
          <w:bCs/>
          <w:sz w:val="32"/>
          <w:szCs w:val="32"/>
        </w:rPr>
        <w:t>税收</w:t>
      </w:r>
      <w:r w:rsidR="00257131">
        <w:rPr>
          <w:rFonts w:ascii="楷体_GB2312" w:eastAsia="楷体_GB2312" w:hAnsi="宋体" w:hint="eastAsia"/>
          <w:b/>
          <w:bCs/>
          <w:sz w:val="32"/>
          <w:szCs w:val="32"/>
        </w:rPr>
        <w:t>、非税</w:t>
      </w:r>
      <w:r w:rsidR="008705BD" w:rsidRPr="001468E6">
        <w:rPr>
          <w:rFonts w:ascii="楷体_GB2312" w:eastAsia="楷体_GB2312" w:hAnsi="宋体" w:hint="eastAsia"/>
          <w:b/>
          <w:bCs/>
          <w:sz w:val="32"/>
          <w:szCs w:val="32"/>
        </w:rPr>
        <w:t>占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一般公共预算</w:t>
      </w:r>
      <w:r w:rsidR="00916026">
        <w:rPr>
          <w:rFonts w:ascii="楷体_GB2312" w:eastAsia="楷体_GB2312" w:hAnsi="宋体" w:hint="eastAsia"/>
          <w:b/>
          <w:bCs/>
          <w:sz w:val="32"/>
          <w:szCs w:val="32"/>
        </w:rPr>
        <w:t>占比</w:t>
      </w:r>
      <w:r w:rsidR="00006BA7"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006BA7" w:rsidRDefault="00006BA7">
      <w:pPr>
        <w:jc w:val="center"/>
        <w:rPr>
          <w:rFonts w:ascii="仿宋_GB2312" w:eastAsia="仿宋_GB2312"/>
          <w:b/>
          <w:sz w:val="32"/>
          <w:szCs w:val="32"/>
        </w:rPr>
      </w:pPr>
      <w:r w:rsidRPr="00006BA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563446" cy="2142066"/>
            <wp:effectExtent l="19050" t="0" r="18204" b="0"/>
            <wp:docPr id="1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0523" w:rsidRDefault="00006BA7" w:rsidP="00916026">
      <w:pPr>
        <w:jc w:val="center"/>
        <w:rPr>
          <w:rFonts w:ascii="仿宋_GB2312" w:eastAsia="仿宋_GB2312"/>
          <w:b/>
          <w:sz w:val="32"/>
          <w:szCs w:val="32"/>
        </w:rPr>
      </w:pPr>
      <w:r w:rsidRPr="00006BA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548418" cy="2201333"/>
            <wp:effectExtent l="19050" t="0" r="14182" b="8467"/>
            <wp:docPr id="2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0523" w:rsidRDefault="00006BA7">
      <w:pPr>
        <w:jc w:val="center"/>
      </w:pPr>
      <w:r w:rsidRPr="00006BA7">
        <w:rPr>
          <w:noProof/>
        </w:rPr>
        <w:drawing>
          <wp:inline distT="0" distB="0" distL="0" distR="0">
            <wp:extent cx="5594350" cy="2201333"/>
            <wp:effectExtent l="19050" t="0" r="25400" b="8467"/>
            <wp:docPr id="2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05BD" w:rsidRDefault="00006BA7" w:rsidP="008705BD">
      <w:pPr>
        <w:spacing w:line="560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近年来，</w:t>
      </w:r>
      <w:r w:rsidR="00CB09B5">
        <w:rPr>
          <w:rFonts w:ascii="仿宋_GB2312" w:eastAsia="仿宋_GB2312" w:hint="eastAsia"/>
          <w:spacing w:val="-20"/>
          <w:sz w:val="30"/>
          <w:szCs w:val="30"/>
        </w:rPr>
        <w:t>财税部门</w:t>
      </w:r>
      <w:r>
        <w:rPr>
          <w:rFonts w:ascii="仿宋_GB2312" w:eastAsia="仿宋_GB2312" w:hint="eastAsia"/>
          <w:spacing w:val="-20"/>
          <w:sz w:val="30"/>
          <w:szCs w:val="30"/>
        </w:rPr>
        <w:t>积极推进高质量发展，</w:t>
      </w:r>
      <w:r w:rsidR="009E3606">
        <w:rPr>
          <w:rFonts w:ascii="仿宋_GB2312" w:eastAsia="仿宋_GB2312" w:hint="eastAsia"/>
          <w:spacing w:val="-20"/>
          <w:sz w:val="30"/>
          <w:szCs w:val="30"/>
        </w:rPr>
        <w:t>财政收入质量进一步提升，实现了稳增长与提质量并举、高速度增长向高质量发展的平稳转换。</w:t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四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="00850E20" w:rsidRPr="001468E6">
        <w:rPr>
          <w:rFonts w:ascii="楷体_GB2312" w:eastAsia="楷体_GB2312" w:hAnsi="宋体" w:hint="eastAsia"/>
          <w:b/>
          <w:bCs/>
          <w:sz w:val="32"/>
          <w:szCs w:val="32"/>
        </w:rPr>
        <w:t>2016年-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2018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年税收收入主要税种</w:t>
      </w:r>
      <w:r w:rsidR="00850E20" w:rsidRPr="001468E6">
        <w:rPr>
          <w:rFonts w:ascii="楷体_GB2312" w:eastAsia="楷体_GB2312" w:hAnsi="宋体" w:hint="eastAsia"/>
          <w:b/>
          <w:bCs/>
          <w:sz w:val="32"/>
          <w:szCs w:val="32"/>
        </w:rPr>
        <w:t>对比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53368E" w:rsidP="00850E20">
      <w:pPr>
        <w:jc w:val="center"/>
        <w:rPr>
          <w:rFonts w:ascii="仿宋_GB2312" w:eastAsia="仿宋_GB2312"/>
          <w:b/>
          <w:sz w:val="32"/>
          <w:szCs w:val="32"/>
        </w:rPr>
      </w:pPr>
      <w:r w:rsidRPr="0053368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518574" cy="3513666"/>
            <wp:effectExtent l="19050" t="0" r="24976" b="0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五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2016年-</w:t>
      </w:r>
      <w:r w:rsidR="009162A7" w:rsidRPr="001468E6">
        <w:rPr>
          <w:rFonts w:ascii="楷体_GB2312" w:eastAsia="楷体_GB2312" w:hAnsi="宋体"/>
          <w:b/>
          <w:bCs/>
          <w:sz w:val="32"/>
          <w:szCs w:val="32"/>
        </w:rPr>
        <w:t>2018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年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非税收入主要项目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对比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9162A7" w:rsidP="009162A7">
      <w:pPr>
        <w:jc w:val="center"/>
        <w:rPr>
          <w:rFonts w:ascii="仿宋_GB2312" w:eastAsia="仿宋_GB2312"/>
          <w:b/>
          <w:sz w:val="32"/>
          <w:szCs w:val="32"/>
        </w:rPr>
      </w:pPr>
      <w:r w:rsidRPr="009162A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527040" cy="3285066"/>
            <wp:effectExtent l="19050" t="0" r="16510" b="0"/>
            <wp:docPr id="3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62A7" w:rsidRDefault="009162A7">
      <w:pPr>
        <w:jc w:val="center"/>
        <w:rPr>
          <w:rFonts w:ascii="仿宋_GB2312" w:eastAsia="仿宋_GB2312"/>
          <w:b/>
          <w:sz w:val="32"/>
          <w:szCs w:val="32"/>
        </w:rPr>
      </w:pP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</w:t>
      </w:r>
      <w:r w:rsidR="003D38CF" w:rsidRPr="001468E6">
        <w:rPr>
          <w:rFonts w:ascii="楷体_GB2312" w:eastAsia="楷体_GB2312" w:hAnsi="宋体" w:hint="eastAsia"/>
          <w:b/>
          <w:bCs/>
          <w:sz w:val="32"/>
          <w:szCs w:val="32"/>
        </w:rPr>
        <w:t>六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：201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年—2018年一般公共预算支出</w:t>
      </w:r>
      <w:r w:rsidR="009162A7"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D079AA" w:rsidP="00093D21">
      <w:pPr>
        <w:jc w:val="center"/>
      </w:pPr>
      <w:r w:rsidRPr="00D079AA">
        <w:rPr>
          <w:noProof/>
        </w:rPr>
        <w:drawing>
          <wp:inline distT="0" distB="0" distL="0" distR="0">
            <wp:extent cx="5436446" cy="3225800"/>
            <wp:effectExtent l="19050" t="0" r="11854" b="0"/>
            <wp:docPr id="1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7E4D" w:rsidRPr="001468E6" w:rsidRDefault="003D38CF" w:rsidP="000B7E4D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图七：2016年—2018年</w:t>
      </w:r>
      <w:r w:rsidR="000B7E4D" w:rsidRPr="001468E6">
        <w:rPr>
          <w:rFonts w:ascii="楷体_GB2312" w:eastAsia="楷体_GB2312" w:hAnsi="宋体" w:hint="eastAsia"/>
          <w:b/>
          <w:bCs/>
          <w:sz w:val="32"/>
          <w:szCs w:val="32"/>
        </w:rPr>
        <w:t>公共预算主要科目支出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="000B7E4D"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0B7E4D" w:rsidRDefault="003D38CF" w:rsidP="000B7E4D">
      <w:pPr>
        <w:jc w:val="center"/>
        <w:rPr>
          <w:rFonts w:ascii="仿宋_GB2312" w:eastAsia="仿宋_GB2312"/>
          <w:b/>
          <w:sz w:val="32"/>
          <w:szCs w:val="32"/>
        </w:rPr>
      </w:pPr>
      <w:r w:rsidRPr="003D38CF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433906" cy="3022600"/>
            <wp:effectExtent l="19050" t="0" r="14394" b="6350"/>
            <wp:docPr id="35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09B5" w:rsidRDefault="00CB09B5" w:rsidP="00916026">
      <w:pPr>
        <w:spacing w:line="560" w:lineRule="exact"/>
        <w:ind w:leftChars="-50" w:left="-105" w:rightChars="-50" w:right="-105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近年来，在自治州党委的坚强领导下，各级财政牢牢聚焦社会稳定和长治久安“总目标”，扎实推进各项财政工作，抢抓机遇，砥砺奋进，财政保障能力显著提升。</w:t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图八：2018年一般公共预算支出构成情况</w:t>
      </w:r>
    </w:p>
    <w:p w:rsidR="002E0523" w:rsidRDefault="00F54250" w:rsidP="00916026">
      <w:pPr>
        <w:jc w:val="center"/>
      </w:pPr>
      <w:r w:rsidRPr="00F54250">
        <w:rPr>
          <w:noProof/>
        </w:rPr>
        <w:drawing>
          <wp:inline distT="0" distB="0" distL="0" distR="0">
            <wp:extent cx="5490633" cy="2726266"/>
            <wp:effectExtent l="19050" t="0" r="14817" b="0"/>
            <wp:docPr id="1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0523" w:rsidRDefault="009E3606">
      <w:pPr>
        <w:spacing w:line="560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2018年，各级财政为社会稳定、脱贫攻坚、改善民生和经济发展提供了有力的财力保障。</w:t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</w:t>
      </w:r>
      <w:r w:rsidR="00863229" w:rsidRPr="001468E6">
        <w:rPr>
          <w:rFonts w:ascii="楷体_GB2312" w:eastAsia="楷体_GB2312" w:hAnsi="宋体" w:hint="eastAsia"/>
          <w:b/>
          <w:bCs/>
          <w:sz w:val="32"/>
          <w:szCs w:val="32"/>
        </w:rPr>
        <w:t>九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：201</w:t>
      </w:r>
      <w:r w:rsidR="007307FE" w:rsidRPr="001468E6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年—2018年民生支出</w:t>
      </w:r>
      <w:r w:rsidR="007307FE"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3A1454" w:rsidP="00916026">
      <w:pPr>
        <w:jc w:val="center"/>
        <w:rPr>
          <w:rFonts w:ascii="仿宋_GB2312" w:eastAsia="仿宋_GB2312"/>
          <w:b/>
          <w:sz w:val="32"/>
          <w:szCs w:val="32"/>
        </w:rPr>
      </w:pPr>
      <w:r w:rsidRPr="003A145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484284" cy="3606800"/>
            <wp:effectExtent l="19050" t="0" r="21166" b="0"/>
            <wp:docPr id="1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图十：2018年克州民生支出</w:t>
      </w:r>
      <w:r w:rsidR="007307FE" w:rsidRPr="001468E6">
        <w:rPr>
          <w:rFonts w:ascii="楷体_GB2312" w:eastAsia="楷体_GB2312" w:hAnsi="宋体" w:hint="eastAsia"/>
          <w:b/>
          <w:bCs/>
          <w:sz w:val="32"/>
          <w:szCs w:val="32"/>
        </w:rPr>
        <w:t>构成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9E3606" w:rsidP="00916026">
      <w:pPr>
        <w:jc w:val="center"/>
      </w:pPr>
      <w:r>
        <w:rPr>
          <w:noProof/>
        </w:rPr>
        <w:drawing>
          <wp:inline distT="0" distB="0" distL="0" distR="0">
            <wp:extent cx="5331883" cy="2836334"/>
            <wp:effectExtent l="19050" t="0" r="21167" b="2116"/>
            <wp:docPr id="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07FE" w:rsidRDefault="007307FE" w:rsidP="007307FE">
      <w:pPr>
        <w:spacing w:line="560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近年来，各级财政始终坚持“以人民为中心”的原则，积极调整优化支出结构，统筹财力不断加大民生改善投入力度。民生支出由201</w:t>
      </w:r>
      <w:r w:rsidR="00C17B49">
        <w:rPr>
          <w:rFonts w:ascii="仿宋_GB2312" w:eastAsia="仿宋_GB2312" w:hint="eastAsia"/>
          <w:spacing w:val="-20"/>
          <w:sz w:val="30"/>
          <w:szCs w:val="30"/>
        </w:rPr>
        <w:t>6</w:t>
      </w:r>
      <w:r>
        <w:rPr>
          <w:rFonts w:ascii="仿宋_GB2312" w:eastAsia="仿宋_GB2312" w:hint="eastAsia"/>
          <w:spacing w:val="-20"/>
          <w:sz w:val="30"/>
          <w:szCs w:val="30"/>
        </w:rPr>
        <w:t>年的</w:t>
      </w:r>
      <w:r w:rsidR="00C17B49">
        <w:rPr>
          <w:rFonts w:ascii="仿宋_GB2312" w:eastAsia="仿宋_GB2312" w:hint="eastAsia"/>
          <w:spacing w:val="-20"/>
          <w:sz w:val="30"/>
          <w:szCs w:val="30"/>
        </w:rPr>
        <w:t>90.02</w:t>
      </w:r>
      <w:r>
        <w:rPr>
          <w:rFonts w:ascii="仿宋_GB2312" w:eastAsia="仿宋_GB2312" w:hint="eastAsia"/>
          <w:spacing w:val="-20"/>
          <w:sz w:val="30"/>
          <w:szCs w:val="30"/>
        </w:rPr>
        <w:t>亿元增加到2018年的12</w:t>
      </w:r>
      <w:r w:rsidR="00C17B49">
        <w:rPr>
          <w:rFonts w:ascii="仿宋_GB2312" w:eastAsia="仿宋_GB2312" w:hint="eastAsia"/>
          <w:spacing w:val="-20"/>
          <w:sz w:val="30"/>
          <w:szCs w:val="30"/>
        </w:rPr>
        <w:t>9</w:t>
      </w:r>
      <w:r>
        <w:rPr>
          <w:rFonts w:ascii="仿宋_GB2312" w:eastAsia="仿宋_GB2312" w:hint="eastAsia"/>
          <w:spacing w:val="-20"/>
          <w:sz w:val="30"/>
          <w:szCs w:val="30"/>
        </w:rPr>
        <w:t>.</w:t>
      </w:r>
      <w:r w:rsidR="00C17B49">
        <w:rPr>
          <w:rFonts w:ascii="仿宋_GB2312" w:eastAsia="仿宋_GB2312" w:hint="eastAsia"/>
          <w:spacing w:val="-20"/>
          <w:sz w:val="30"/>
          <w:szCs w:val="30"/>
        </w:rPr>
        <w:t>90</w:t>
      </w:r>
      <w:r>
        <w:rPr>
          <w:rFonts w:ascii="仿宋_GB2312" w:eastAsia="仿宋_GB2312" w:hint="eastAsia"/>
          <w:spacing w:val="-20"/>
          <w:sz w:val="30"/>
          <w:szCs w:val="30"/>
        </w:rPr>
        <w:t>亿元，年均增长</w:t>
      </w:r>
      <w:r w:rsidR="00DD5296">
        <w:rPr>
          <w:rFonts w:ascii="仿宋_GB2312" w:eastAsia="仿宋_GB2312" w:hint="eastAsia"/>
          <w:spacing w:val="-20"/>
          <w:sz w:val="30"/>
          <w:szCs w:val="30"/>
        </w:rPr>
        <w:t>20</w:t>
      </w:r>
      <w:r>
        <w:rPr>
          <w:rFonts w:ascii="仿宋_GB2312" w:eastAsia="仿宋_GB2312" w:hint="eastAsia"/>
          <w:spacing w:val="-20"/>
          <w:sz w:val="30"/>
          <w:szCs w:val="30"/>
        </w:rPr>
        <w:t>.</w:t>
      </w:r>
      <w:r w:rsidR="00DD5296">
        <w:rPr>
          <w:rFonts w:ascii="仿宋_GB2312" w:eastAsia="仿宋_GB2312" w:hint="eastAsia"/>
          <w:spacing w:val="-20"/>
          <w:sz w:val="30"/>
          <w:szCs w:val="30"/>
        </w:rPr>
        <w:t>13</w:t>
      </w:r>
      <w:r>
        <w:rPr>
          <w:rFonts w:ascii="仿宋_GB2312" w:eastAsia="仿宋_GB2312" w:hint="eastAsia"/>
          <w:spacing w:val="-20"/>
          <w:sz w:val="30"/>
          <w:szCs w:val="30"/>
        </w:rPr>
        <w:t>%。</w:t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图十</w:t>
      </w:r>
      <w:r w:rsidR="00863229" w:rsidRPr="001468E6">
        <w:rPr>
          <w:rFonts w:ascii="楷体_GB2312" w:eastAsia="楷体_GB2312" w:hAnsi="宋体" w:hint="eastAsia"/>
          <w:b/>
          <w:bCs/>
          <w:sz w:val="32"/>
          <w:szCs w:val="32"/>
        </w:rPr>
        <w:t>一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：201</w:t>
      </w:r>
      <w:r w:rsidR="00891618" w:rsidRPr="001468E6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年-2018年人均支出</w:t>
      </w:r>
      <w:r w:rsidR="00891618"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4717CD" w:rsidP="00891618">
      <w:pPr>
        <w:jc w:val="center"/>
      </w:pPr>
      <w:r w:rsidRPr="004717CD">
        <w:rPr>
          <w:noProof/>
        </w:rPr>
        <w:drawing>
          <wp:inline distT="0" distB="0" distL="0" distR="0">
            <wp:extent cx="5312833" cy="2667000"/>
            <wp:effectExtent l="19050" t="0" r="21167" b="0"/>
            <wp:docPr id="19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0523" w:rsidRDefault="009E3606">
      <w:pPr>
        <w:spacing w:line="560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2018年人均支出达到2.</w:t>
      </w:r>
      <w:r w:rsidR="00CC227B">
        <w:rPr>
          <w:rFonts w:ascii="仿宋_GB2312" w:eastAsia="仿宋_GB2312" w:hint="eastAsia"/>
          <w:spacing w:val="-20"/>
          <w:sz w:val="30"/>
          <w:szCs w:val="30"/>
        </w:rPr>
        <w:t>87</w:t>
      </w:r>
      <w:r>
        <w:rPr>
          <w:rFonts w:ascii="仿宋_GB2312" w:eastAsia="仿宋_GB2312" w:hint="eastAsia"/>
          <w:spacing w:val="-20"/>
          <w:sz w:val="30"/>
          <w:szCs w:val="30"/>
        </w:rPr>
        <w:t>万元，较201</w:t>
      </w:r>
      <w:r w:rsidR="00730510">
        <w:rPr>
          <w:rFonts w:ascii="仿宋_GB2312" w:eastAsia="仿宋_GB2312" w:hint="eastAsia"/>
          <w:spacing w:val="-20"/>
          <w:sz w:val="30"/>
          <w:szCs w:val="30"/>
        </w:rPr>
        <w:t>7</w:t>
      </w:r>
      <w:r>
        <w:rPr>
          <w:rFonts w:ascii="仿宋_GB2312" w:eastAsia="仿宋_GB2312" w:hint="eastAsia"/>
          <w:spacing w:val="-20"/>
          <w:sz w:val="30"/>
          <w:szCs w:val="30"/>
        </w:rPr>
        <w:t>年人均增</w:t>
      </w:r>
      <w:r w:rsidR="008456E2">
        <w:rPr>
          <w:rFonts w:ascii="仿宋_GB2312" w:eastAsia="仿宋_GB2312" w:hint="eastAsia"/>
          <w:spacing w:val="-20"/>
          <w:sz w:val="30"/>
          <w:szCs w:val="30"/>
        </w:rPr>
        <w:t>长</w:t>
      </w:r>
      <w:r w:rsidR="004717CD">
        <w:rPr>
          <w:rFonts w:ascii="仿宋_GB2312" w:eastAsia="仿宋_GB2312" w:hint="eastAsia"/>
          <w:spacing w:val="-20"/>
          <w:sz w:val="30"/>
          <w:szCs w:val="30"/>
        </w:rPr>
        <w:t>24.24</w:t>
      </w:r>
      <w:r w:rsidR="008456E2">
        <w:rPr>
          <w:rFonts w:ascii="仿宋_GB2312" w:eastAsia="仿宋_GB2312" w:hint="eastAsia"/>
          <w:spacing w:val="-20"/>
          <w:sz w:val="30"/>
          <w:szCs w:val="30"/>
        </w:rPr>
        <w:t>%</w:t>
      </w:r>
      <w:r>
        <w:rPr>
          <w:rFonts w:ascii="仿宋_GB2312" w:eastAsia="仿宋_GB2312" w:hint="eastAsia"/>
          <w:spacing w:val="-20"/>
          <w:sz w:val="30"/>
          <w:szCs w:val="30"/>
        </w:rPr>
        <w:t>。</w:t>
      </w:r>
    </w:p>
    <w:p w:rsidR="008456E2" w:rsidRPr="001468E6" w:rsidRDefault="009E3606">
      <w:pPr>
        <w:spacing w:line="56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图十</w:t>
      </w:r>
      <w:r w:rsidR="008E62C5">
        <w:rPr>
          <w:rFonts w:ascii="楷体_GB2312" w:eastAsia="楷体_GB2312" w:hAnsi="宋体" w:hint="eastAsia"/>
          <w:b/>
          <w:bCs/>
          <w:sz w:val="32"/>
          <w:szCs w:val="32"/>
        </w:rPr>
        <w:t>二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：201</w:t>
      </w:r>
      <w:r w:rsidR="008456E2" w:rsidRPr="001468E6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年—2018年</w:t>
      </w:r>
      <w:r w:rsidR="008456E2" w:rsidRPr="001468E6">
        <w:rPr>
          <w:rFonts w:ascii="楷体_GB2312" w:eastAsia="楷体_GB2312" w:hAnsi="宋体" w:hint="eastAsia"/>
          <w:b/>
          <w:bCs/>
          <w:sz w:val="32"/>
          <w:szCs w:val="32"/>
        </w:rPr>
        <w:t>国家及自治区给予克州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转移</w:t>
      </w:r>
    </w:p>
    <w:p w:rsidR="002E0523" w:rsidRPr="001468E6" w:rsidRDefault="009E3606">
      <w:pPr>
        <w:spacing w:line="56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支付</w:t>
      </w:r>
      <w:r w:rsidR="008456E2" w:rsidRPr="001468E6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4717CD">
      <w:pPr>
        <w:jc w:val="center"/>
      </w:pPr>
      <w:r w:rsidRPr="004717CD">
        <w:rPr>
          <w:noProof/>
        </w:rPr>
        <w:drawing>
          <wp:inline distT="0" distB="0" distL="0" distR="0">
            <wp:extent cx="5137150" cy="3098800"/>
            <wp:effectExtent l="19050" t="0" r="25400" b="6350"/>
            <wp:docPr id="20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图十</w:t>
      </w:r>
      <w:r w:rsidR="008E62C5">
        <w:rPr>
          <w:rFonts w:ascii="楷体_GB2312" w:eastAsia="楷体_GB2312" w:hAnsi="宋体" w:hint="eastAsia"/>
          <w:b/>
          <w:bCs/>
          <w:sz w:val="32"/>
          <w:szCs w:val="32"/>
        </w:rPr>
        <w:t>三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="001468E6" w:rsidRPr="001468E6">
        <w:rPr>
          <w:rFonts w:ascii="楷体_GB2312" w:eastAsia="楷体_GB2312" w:hAnsi="宋体" w:hint="eastAsia"/>
          <w:b/>
          <w:bCs/>
          <w:sz w:val="32"/>
          <w:szCs w:val="32"/>
        </w:rPr>
        <w:t>2016年—2018年</w:t>
      </w:r>
      <w:r w:rsidR="001468E6">
        <w:rPr>
          <w:rFonts w:ascii="楷体_GB2312" w:eastAsia="楷体_GB2312" w:hAnsi="宋体" w:hint="eastAsia"/>
          <w:b/>
          <w:bCs/>
          <w:sz w:val="32"/>
          <w:szCs w:val="32"/>
        </w:rPr>
        <w:t>全州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转移支付</w:t>
      </w:r>
      <w:r w:rsidR="001468E6">
        <w:rPr>
          <w:rFonts w:ascii="楷体_GB2312" w:eastAsia="楷体_GB2312" w:hAnsi="宋体" w:hint="eastAsia"/>
          <w:b/>
          <w:bCs/>
          <w:sz w:val="32"/>
          <w:szCs w:val="32"/>
        </w:rPr>
        <w:t>构成变动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情况</w:t>
      </w:r>
    </w:p>
    <w:p w:rsidR="002E0523" w:rsidRDefault="001468E6">
      <w:pPr>
        <w:jc w:val="center"/>
      </w:pPr>
      <w:r w:rsidRPr="001468E6">
        <w:rPr>
          <w:noProof/>
        </w:rPr>
        <w:drawing>
          <wp:inline distT="0" distB="0" distL="0" distR="0">
            <wp:extent cx="5137150" cy="2796116"/>
            <wp:effectExtent l="19050" t="0" r="25400" b="4234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62C5" w:rsidRPr="00916026" w:rsidRDefault="008E62C5" w:rsidP="00916026">
      <w:pPr>
        <w:spacing w:line="560" w:lineRule="exact"/>
        <w:ind w:leftChars="-50" w:left="-105" w:rightChars="-50" w:right="-105"/>
        <w:jc w:val="left"/>
        <w:rPr>
          <w:rFonts w:ascii="仿宋_GB2312" w:eastAsia="仿宋_GB2312"/>
          <w:spacing w:val="-20"/>
          <w:sz w:val="30"/>
          <w:szCs w:val="30"/>
        </w:rPr>
      </w:pPr>
      <w:r w:rsidRPr="00916026">
        <w:rPr>
          <w:rFonts w:ascii="仿宋_GB2312" w:eastAsia="仿宋_GB2312" w:hint="eastAsia"/>
          <w:spacing w:val="-20"/>
          <w:sz w:val="30"/>
          <w:szCs w:val="30"/>
        </w:rPr>
        <w:t>近年来，各级财政积极研究中央和自治区相关财税政策，充分利用国家对</w:t>
      </w:r>
      <w:r w:rsidR="00916026">
        <w:rPr>
          <w:rFonts w:ascii="仿宋_GB2312" w:eastAsia="仿宋_GB2312" w:hAnsi="仿宋_GB2312" w:cs="Times New Roman" w:hint="eastAsia"/>
          <w:color w:val="000000"/>
          <w:sz w:val="30"/>
          <w:szCs w:val="30"/>
        </w:rPr>
        <w:t>民族地区、边疆地区、</w:t>
      </w:r>
      <w:r w:rsidRPr="00916026">
        <w:rPr>
          <w:rFonts w:ascii="仿宋_GB2312" w:eastAsia="仿宋_GB2312" w:hAnsi="仿宋_GB2312" w:cs="Times New Roman" w:hint="eastAsia"/>
          <w:color w:val="000000"/>
          <w:sz w:val="30"/>
          <w:szCs w:val="30"/>
        </w:rPr>
        <w:t>贫困地区</w:t>
      </w:r>
      <w:r w:rsidRPr="00916026">
        <w:rPr>
          <w:rFonts w:ascii="仿宋_GB2312" w:eastAsia="仿宋_GB2312" w:hAnsi="仿宋_GB2312" w:hint="eastAsia"/>
          <w:color w:val="000000"/>
          <w:sz w:val="30"/>
          <w:szCs w:val="30"/>
        </w:rPr>
        <w:t>的倾斜政策</w:t>
      </w:r>
      <w:r w:rsidRPr="00916026">
        <w:rPr>
          <w:rFonts w:ascii="仿宋_GB2312" w:eastAsia="仿宋_GB2312" w:hint="eastAsia"/>
          <w:spacing w:val="-20"/>
          <w:sz w:val="30"/>
          <w:szCs w:val="30"/>
        </w:rPr>
        <w:t>，积极争取转移支付补助资金。</w:t>
      </w:r>
    </w:p>
    <w:p w:rsidR="002E0523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图十</w:t>
      </w:r>
      <w:r w:rsidR="008E62C5">
        <w:rPr>
          <w:rFonts w:ascii="楷体_GB2312" w:eastAsia="楷体_GB2312" w:hAnsi="宋体" w:hint="eastAsia"/>
          <w:b/>
          <w:bCs/>
          <w:sz w:val="32"/>
          <w:szCs w:val="32"/>
        </w:rPr>
        <w:t>四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="001468E6" w:rsidRPr="001468E6">
        <w:rPr>
          <w:rFonts w:ascii="楷体_GB2312" w:eastAsia="楷体_GB2312" w:hAnsi="宋体" w:hint="eastAsia"/>
          <w:b/>
          <w:bCs/>
          <w:sz w:val="32"/>
          <w:szCs w:val="32"/>
        </w:rPr>
        <w:t>2016年—2018年</w:t>
      </w:r>
      <w:r w:rsidR="001468E6">
        <w:rPr>
          <w:rFonts w:ascii="楷体_GB2312" w:eastAsia="楷体_GB2312" w:hAnsi="宋体"/>
          <w:b/>
          <w:bCs/>
          <w:sz w:val="32"/>
          <w:szCs w:val="32"/>
        </w:rPr>
        <w:t>克州转移支付</w:t>
      </w:r>
      <w:r w:rsidR="00CB63ED">
        <w:rPr>
          <w:rFonts w:ascii="楷体_GB2312" w:eastAsia="楷体_GB2312" w:hAnsi="宋体" w:hint="eastAsia"/>
          <w:b/>
          <w:bCs/>
          <w:sz w:val="32"/>
          <w:szCs w:val="32"/>
        </w:rPr>
        <w:t>分配</w:t>
      </w:r>
      <w:r w:rsidR="008E62C5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="001468E6">
        <w:rPr>
          <w:rFonts w:ascii="楷体_GB2312" w:eastAsia="楷体_GB2312" w:hAnsi="宋体"/>
          <w:b/>
          <w:bCs/>
          <w:sz w:val="32"/>
          <w:szCs w:val="32"/>
        </w:rPr>
        <w:t>情况</w:t>
      </w:r>
    </w:p>
    <w:p w:rsidR="008E62C5" w:rsidRDefault="008E62C5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8E62C5">
        <w:rPr>
          <w:rFonts w:ascii="楷体_GB2312" w:eastAsia="楷体_GB2312" w:hAnsi="宋体"/>
          <w:b/>
          <w:bCs/>
          <w:noProof/>
          <w:sz w:val="32"/>
          <w:szCs w:val="32"/>
        </w:rPr>
        <w:drawing>
          <wp:inline distT="0" distB="0" distL="0" distR="0">
            <wp:extent cx="5076190" cy="2861733"/>
            <wp:effectExtent l="19050" t="0" r="10160" b="0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bookmarkStart w:id="0" w:name="_GoBack"/>
      <w:bookmarkEnd w:id="0"/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图十</w:t>
      </w:r>
      <w:r w:rsidR="008E62C5">
        <w:rPr>
          <w:rFonts w:ascii="楷体_GB2312" w:eastAsia="楷体_GB2312" w:hAnsi="宋体" w:hint="eastAsia"/>
          <w:b/>
          <w:bCs/>
          <w:sz w:val="32"/>
          <w:szCs w:val="32"/>
        </w:rPr>
        <w:t>五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2018</w:t>
      </w:r>
      <w:r w:rsidR="008E62C5">
        <w:rPr>
          <w:rFonts w:ascii="楷体_GB2312" w:eastAsia="楷体_GB2312" w:hAnsi="宋体"/>
          <w:b/>
          <w:bCs/>
          <w:sz w:val="32"/>
          <w:szCs w:val="32"/>
        </w:rPr>
        <w:t>年克州转移支付资金</w:t>
      </w:r>
      <w:r w:rsidR="00A60BC3">
        <w:rPr>
          <w:rFonts w:ascii="楷体_GB2312" w:eastAsia="楷体_GB2312" w:hAnsi="宋体" w:hint="eastAsia"/>
          <w:b/>
          <w:bCs/>
          <w:sz w:val="32"/>
          <w:szCs w:val="32"/>
        </w:rPr>
        <w:t>分配</w:t>
      </w:r>
      <w:r w:rsidR="008E62C5">
        <w:rPr>
          <w:rFonts w:ascii="楷体_GB2312" w:eastAsia="楷体_GB2312" w:hAnsi="宋体"/>
          <w:b/>
          <w:bCs/>
          <w:sz w:val="32"/>
          <w:szCs w:val="32"/>
        </w:rPr>
        <w:t>情况</w:t>
      </w:r>
    </w:p>
    <w:p w:rsidR="002E0523" w:rsidRDefault="009E3606">
      <w:pPr>
        <w:jc w:val="center"/>
      </w:pPr>
      <w:r>
        <w:rPr>
          <w:noProof/>
        </w:rPr>
        <w:drawing>
          <wp:inline distT="0" distB="0" distL="0" distR="0">
            <wp:extent cx="5076190" cy="2599267"/>
            <wp:effectExtent l="19050" t="0" r="10160" b="0"/>
            <wp:docPr id="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E0523" w:rsidRDefault="009E3606">
      <w:pPr>
        <w:spacing w:line="540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2018年自治州积极争取上级转移支付补助资金13</w:t>
      </w:r>
      <w:r w:rsidR="004D6F13">
        <w:rPr>
          <w:rFonts w:ascii="仿宋_GB2312" w:eastAsia="仿宋_GB2312" w:hint="eastAsia"/>
          <w:spacing w:val="-20"/>
          <w:sz w:val="30"/>
          <w:szCs w:val="30"/>
        </w:rPr>
        <w:t>8.09</w:t>
      </w:r>
      <w:r>
        <w:rPr>
          <w:rFonts w:ascii="仿宋_GB2312" w:eastAsia="仿宋_GB2312" w:hint="eastAsia"/>
          <w:spacing w:val="-20"/>
          <w:sz w:val="30"/>
          <w:szCs w:val="30"/>
        </w:rPr>
        <w:t>亿元，较2017年增加24.</w:t>
      </w:r>
      <w:r w:rsidR="004D6F13">
        <w:rPr>
          <w:rFonts w:ascii="仿宋_GB2312" w:eastAsia="仿宋_GB2312" w:hint="eastAsia"/>
          <w:spacing w:val="-20"/>
          <w:sz w:val="30"/>
          <w:szCs w:val="30"/>
        </w:rPr>
        <w:t>67</w:t>
      </w:r>
      <w:r>
        <w:rPr>
          <w:rFonts w:ascii="仿宋_GB2312" w:eastAsia="仿宋_GB2312" w:hint="eastAsia"/>
          <w:spacing w:val="-20"/>
          <w:sz w:val="30"/>
          <w:szCs w:val="30"/>
        </w:rPr>
        <w:t>亿元，增长21.7</w:t>
      </w:r>
      <w:r w:rsidR="004D6F13">
        <w:rPr>
          <w:rFonts w:ascii="仿宋_GB2312" w:eastAsia="仿宋_GB2312" w:hint="eastAsia"/>
          <w:spacing w:val="-20"/>
          <w:sz w:val="30"/>
          <w:szCs w:val="30"/>
        </w:rPr>
        <w:t>5</w:t>
      </w:r>
      <w:r>
        <w:rPr>
          <w:rFonts w:ascii="仿宋_GB2312" w:eastAsia="仿宋_GB2312" w:hint="eastAsia"/>
          <w:spacing w:val="-20"/>
          <w:sz w:val="30"/>
          <w:szCs w:val="30"/>
        </w:rPr>
        <w:t>%。州本级占比由2017年的22%下降到2018年的17%，下降5个百分点，</w:t>
      </w:r>
      <w:r w:rsidR="00726102">
        <w:rPr>
          <w:rFonts w:ascii="仿宋_GB2312" w:eastAsia="仿宋_GB2312" w:hint="eastAsia"/>
          <w:spacing w:val="-20"/>
          <w:sz w:val="30"/>
          <w:szCs w:val="30"/>
        </w:rPr>
        <w:t>主动作为，</w:t>
      </w:r>
      <w:r w:rsidR="00A4482D">
        <w:rPr>
          <w:rFonts w:ascii="仿宋_GB2312" w:eastAsia="仿宋_GB2312" w:hint="eastAsia"/>
          <w:spacing w:val="-20"/>
          <w:sz w:val="30"/>
          <w:szCs w:val="30"/>
        </w:rPr>
        <w:t>挤出资金增加县市财力，</w:t>
      </w:r>
      <w:r w:rsidR="004D6F13">
        <w:rPr>
          <w:rFonts w:ascii="仿宋_GB2312" w:eastAsia="仿宋_GB2312" w:hint="eastAsia"/>
          <w:spacing w:val="-20"/>
          <w:sz w:val="30"/>
          <w:szCs w:val="30"/>
        </w:rPr>
        <w:t>加大县市倾斜力度，</w:t>
      </w:r>
      <w:r>
        <w:rPr>
          <w:rFonts w:ascii="仿宋_GB2312" w:eastAsia="仿宋_GB2312" w:hint="eastAsia"/>
          <w:spacing w:val="-20"/>
          <w:sz w:val="30"/>
          <w:szCs w:val="30"/>
        </w:rPr>
        <w:t>为脱贫攻坚、改善民生、乡村振兴等重点工作</w:t>
      </w:r>
      <w:r w:rsidR="00A4482D">
        <w:rPr>
          <w:rFonts w:ascii="仿宋_GB2312" w:eastAsia="仿宋_GB2312" w:hint="eastAsia"/>
          <w:spacing w:val="-20"/>
          <w:sz w:val="30"/>
          <w:szCs w:val="30"/>
        </w:rPr>
        <w:t>提供了坚强的财力保障</w:t>
      </w:r>
      <w:r>
        <w:rPr>
          <w:rFonts w:ascii="仿宋_GB2312" w:eastAsia="仿宋_GB2312" w:hint="eastAsia"/>
          <w:spacing w:val="-20"/>
          <w:sz w:val="30"/>
          <w:szCs w:val="30"/>
        </w:rPr>
        <w:t>。</w:t>
      </w: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图十</w:t>
      </w:r>
      <w:r w:rsidR="00CB09B5">
        <w:rPr>
          <w:rFonts w:ascii="楷体_GB2312" w:eastAsia="楷体_GB2312" w:hAnsi="宋体" w:hint="eastAsia"/>
          <w:b/>
          <w:bCs/>
          <w:sz w:val="32"/>
          <w:szCs w:val="32"/>
        </w:rPr>
        <w:t>六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</w:t>
      </w:r>
      <w:r w:rsidR="00A528B5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年—2018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年</w:t>
      </w:r>
      <w:r w:rsidR="00CB09B5">
        <w:rPr>
          <w:rFonts w:ascii="楷体_GB2312" w:eastAsia="楷体_GB2312" w:hAnsi="宋体" w:hint="eastAsia"/>
          <w:b/>
          <w:bCs/>
          <w:sz w:val="32"/>
          <w:szCs w:val="32"/>
        </w:rPr>
        <w:t>自治区转贷克州债券</w:t>
      </w:r>
      <w:r w:rsidR="00CB09B5" w:rsidRPr="001468E6">
        <w:rPr>
          <w:rFonts w:ascii="楷体_GB2312" w:eastAsia="楷体_GB2312" w:hAnsi="宋体" w:hint="eastAsia"/>
          <w:b/>
          <w:bCs/>
          <w:sz w:val="32"/>
          <w:szCs w:val="32"/>
        </w:rPr>
        <w:t>金</w:t>
      </w:r>
      <w:r w:rsidR="00CB09B5">
        <w:rPr>
          <w:rFonts w:ascii="楷体_GB2312" w:eastAsia="楷体_GB2312" w:hAnsi="宋体" w:hint="eastAsia"/>
          <w:b/>
          <w:bCs/>
          <w:sz w:val="32"/>
          <w:szCs w:val="32"/>
        </w:rPr>
        <w:t>变动</w:t>
      </w:r>
      <w:r w:rsidR="00CB09B5" w:rsidRPr="001468E6">
        <w:rPr>
          <w:rFonts w:ascii="楷体_GB2312" w:eastAsia="楷体_GB2312" w:hAnsi="宋体"/>
          <w:b/>
          <w:bCs/>
          <w:sz w:val="32"/>
          <w:szCs w:val="32"/>
        </w:rPr>
        <w:t>情况</w:t>
      </w:r>
    </w:p>
    <w:p w:rsidR="002E0523" w:rsidRDefault="00A528B5">
      <w:pPr>
        <w:jc w:val="center"/>
        <w:rPr>
          <w:rFonts w:ascii="仿宋_GB2312" w:eastAsia="仿宋_GB2312"/>
          <w:b/>
          <w:sz w:val="32"/>
          <w:szCs w:val="32"/>
        </w:rPr>
      </w:pPr>
      <w:r w:rsidRPr="00A528B5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4950037" cy="2743200"/>
            <wp:effectExtent l="19050" t="0" r="22013" b="0"/>
            <wp:docPr id="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528B5" w:rsidRDefault="00A528B5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</w:p>
    <w:p w:rsidR="002E0523" w:rsidRPr="001468E6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图十</w:t>
      </w:r>
      <w:r w:rsidR="003E185A">
        <w:rPr>
          <w:rFonts w:ascii="楷体_GB2312" w:eastAsia="楷体_GB2312" w:hAnsi="宋体" w:hint="eastAsia"/>
          <w:b/>
          <w:bCs/>
          <w:sz w:val="32"/>
          <w:szCs w:val="32"/>
        </w:rPr>
        <w:t>七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="00A528B5" w:rsidRPr="001468E6">
        <w:rPr>
          <w:rFonts w:ascii="楷体_GB2312" w:eastAsia="楷体_GB2312" w:hAnsi="宋体"/>
          <w:b/>
          <w:bCs/>
          <w:sz w:val="32"/>
          <w:szCs w:val="32"/>
        </w:rPr>
        <w:t>201</w:t>
      </w:r>
      <w:r w:rsidR="00A528B5">
        <w:rPr>
          <w:rFonts w:ascii="楷体_GB2312" w:eastAsia="楷体_GB2312" w:hAnsi="宋体" w:hint="eastAsia"/>
          <w:b/>
          <w:bCs/>
          <w:sz w:val="32"/>
          <w:szCs w:val="32"/>
        </w:rPr>
        <w:t>6</w:t>
      </w:r>
      <w:r w:rsidR="00A528B5" w:rsidRPr="001468E6">
        <w:rPr>
          <w:rFonts w:ascii="楷体_GB2312" w:eastAsia="楷体_GB2312" w:hAnsi="宋体" w:hint="eastAsia"/>
          <w:b/>
          <w:bCs/>
          <w:sz w:val="32"/>
          <w:szCs w:val="32"/>
        </w:rPr>
        <w:t>年—2018</w:t>
      </w:r>
      <w:r w:rsidR="00A528B5" w:rsidRPr="001468E6">
        <w:rPr>
          <w:rFonts w:ascii="楷体_GB2312" w:eastAsia="楷体_GB2312" w:hAnsi="宋体"/>
          <w:b/>
          <w:bCs/>
          <w:sz w:val="32"/>
          <w:szCs w:val="32"/>
        </w:rPr>
        <w:t>年</w:t>
      </w:r>
      <w:r w:rsidR="00452E36">
        <w:rPr>
          <w:rFonts w:ascii="楷体_GB2312" w:eastAsia="楷体_GB2312" w:hAnsi="宋体" w:hint="eastAsia"/>
          <w:b/>
          <w:bCs/>
          <w:sz w:val="32"/>
          <w:szCs w:val="32"/>
        </w:rPr>
        <w:t>转贷克州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债券资金</w:t>
      </w:r>
      <w:r w:rsidR="00A528B5">
        <w:rPr>
          <w:rFonts w:ascii="楷体_GB2312" w:eastAsia="楷体_GB2312" w:hAnsi="宋体" w:hint="eastAsia"/>
          <w:b/>
          <w:bCs/>
          <w:sz w:val="32"/>
          <w:szCs w:val="32"/>
        </w:rPr>
        <w:t>构成变动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情况</w:t>
      </w:r>
    </w:p>
    <w:p w:rsidR="002E0523" w:rsidRDefault="00A528B5">
      <w:pPr>
        <w:jc w:val="center"/>
      </w:pPr>
      <w:r w:rsidRPr="00A528B5">
        <w:rPr>
          <w:noProof/>
        </w:rPr>
        <w:drawing>
          <wp:inline distT="0" distB="0" distL="0" distR="0">
            <wp:extent cx="4920827" cy="2937933"/>
            <wp:effectExtent l="19050" t="0" r="13123" b="0"/>
            <wp:docPr id="7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528B5" w:rsidRDefault="00A528B5" w:rsidP="00A528B5">
      <w:pPr>
        <w:spacing w:line="578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近年来，各级财政部门积极适应“新常态”，坚决贯彻落实中央、自治区各项决策部署，积极争取债券资金为维护稳定、脱贫攻坚等重点工作提供了财力保障，推进各项基础设施改善。</w:t>
      </w:r>
    </w:p>
    <w:p w:rsidR="002E0523" w:rsidRDefault="009E3606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lastRenderedPageBreak/>
        <w:t>图十</w:t>
      </w:r>
      <w:r w:rsidR="003E185A">
        <w:rPr>
          <w:rFonts w:ascii="楷体_GB2312" w:eastAsia="楷体_GB2312" w:hAnsi="宋体" w:hint="eastAsia"/>
          <w:b/>
          <w:bCs/>
          <w:sz w:val="32"/>
          <w:szCs w:val="32"/>
        </w:rPr>
        <w:t>八</w:t>
      </w:r>
      <w:r w:rsidRPr="001468E6">
        <w:rPr>
          <w:rFonts w:ascii="楷体_GB2312" w:eastAsia="楷体_GB2312" w:hAnsi="宋体" w:hint="eastAsia"/>
          <w:b/>
          <w:bCs/>
          <w:sz w:val="32"/>
          <w:szCs w:val="32"/>
        </w:rPr>
        <w:t>：</w:t>
      </w:r>
      <w:r w:rsidR="00C32243">
        <w:rPr>
          <w:rFonts w:ascii="楷体_GB2312" w:eastAsia="楷体_GB2312" w:hAnsi="宋体" w:hint="eastAsia"/>
          <w:b/>
          <w:bCs/>
          <w:sz w:val="32"/>
          <w:szCs w:val="32"/>
        </w:rPr>
        <w:t>2016年-</w:t>
      </w:r>
      <w:r w:rsidRPr="001468E6">
        <w:rPr>
          <w:rFonts w:ascii="楷体_GB2312" w:eastAsia="楷体_GB2312" w:hAnsi="宋体"/>
          <w:b/>
          <w:bCs/>
          <w:sz w:val="32"/>
          <w:szCs w:val="32"/>
        </w:rPr>
        <w:t>201</w:t>
      </w:r>
      <w:r w:rsidR="00C32243">
        <w:rPr>
          <w:rFonts w:ascii="楷体_GB2312" w:eastAsia="楷体_GB2312" w:hAnsi="宋体" w:hint="eastAsia"/>
          <w:b/>
          <w:bCs/>
          <w:sz w:val="32"/>
          <w:szCs w:val="32"/>
        </w:rPr>
        <w:t>8</w:t>
      </w:r>
      <w:r w:rsidR="00C32243">
        <w:rPr>
          <w:rFonts w:ascii="楷体_GB2312" w:eastAsia="楷体_GB2312" w:hAnsi="宋体"/>
          <w:b/>
          <w:bCs/>
          <w:sz w:val="32"/>
          <w:szCs w:val="32"/>
        </w:rPr>
        <w:t>年新增债券资金分配情况</w:t>
      </w:r>
    </w:p>
    <w:p w:rsidR="00FD69C4" w:rsidRPr="001468E6" w:rsidRDefault="00364F67" w:rsidP="00364F67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364F67">
        <w:rPr>
          <w:rFonts w:ascii="楷体_GB2312" w:eastAsia="楷体_GB2312" w:hAnsi="宋体"/>
          <w:b/>
          <w:bCs/>
          <w:noProof/>
          <w:sz w:val="32"/>
          <w:szCs w:val="32"/>
        </w:rPr>
        <w:drawing>
          <wp:inline distT="0" distB="0" distL="0" distR="0">
            <wp:extent cx="5285951" cy="2006600"/>
            <wp:effectExtent l="19050" t="0" r="9949" b="0"/>
            <wp:docPr id="1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E0523" w:rsidRDefault="00364F67" w:rsidP="00916026">
      <w:pPr>
        <w:jc w:val="center"/>
      </w:pPr>
      <w:r w:rsidRPr="00364F67">
        <w:rPr>
          <w:noProof/>
        </w:rPr>
        <w:drawing>
          <wp:inline distT="0" distB="0" distL="0" distR="0">
            <wp:extent cx="5336116" cy="2015066"/>
            <wp:effectExtent l="19050" t="0" r="16934" b="4234"/>
            <wp:docPr id="14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E0523" w:rsidRDefault="00364F67">
      <w:pPr>
        <w:jc w:val="center"/>
      </w:pPr>
      <w:r w:rsidRPr="00364F67">
        <w:rPr>
          <w:noProof/>
        </w:rPr>
        <w:drawing>
          <wp:inline distT="0" distB="0" distL="0" distR="0">
            <wp:extent cx="5344583" cy="2091266"/>
            <wp:effectExtent l="19050" t="0" r="27517" b="4234"/>
            <wp:docPr id="2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E0523" w:rsidRDefault="009E3606">
      <w:pPr>
        <w:spacing w:line="578" w:lineRule="exact"/>
        <w:jc w:val="left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pacing w:val="-20"/>
          <w:sz w:val="30"/>
          <w:szCs w:val="30"/>
        </w:rPr>
        <w:t>2018年积极争取新增债券资金22.88亿元，</w:t>
      </w:r>
      <w:r w:rsidR="00C32243">
        <w:rPr>
          <w:rFonts w:ascii="仿宋_GB2312" w:eastAsia="仿宋_GB2312" w:hint="eastAsia"/>
          <w:spacing w:val="-20"/>
          <w:sz w:val="30"/>
          <w:szCs w:val="30"/>
        </w:rPr>
        <w:t>将资金的97%转贷县市，</w:t>
      </w:r>
      <w:r>
        <w:rPr>
          <w:rFonts w:ascii="仿宋_GB2312" w:eastAsia="仿宋_GB2312" w:hint="eastAsia"/>
          <w:spacing w:val="-20"/>
          <w:sz w:val="30"/>
          <w:szCs w:val="30"/>
        </w:rPr>
        <w:t>给予县（市）大力的支持力度，重点于维护稳定、脱贫攻坚、农林水利等建设，其中：州本级占比由2017年的9%下降到2018年的3%，下降6个百分点。</w:t>
      </w:r>
    </w:p>
    <w:sectPr w:rsidR="002E0523" w:rsidSect="0091602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5F" w:rsidRDefault="00FD4B5F" w:rsidP="007E2DDC">
      <w:r>
        <w:separator/>
      </w:r>
    </w:p>
  </w:endnote>
  <w:endnote w:type="continuationSeparator" w:id="1">
    <w:p w:rsidR="00FD4B5F" w:rsidRDefault="00FD4B5F" w:rsidP="007E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5F" w:rsidRDefault="00FD4B5F" w:rsidP="007E2DDC">
      <w:r>
        <w:separator/>
      </w:r>
    </w:p>
  </w:footnote>
  <w:footnote w:type="continuationSeparator" w:id="1">
    <w:p w:rsidR="00FD4B5F" w:rsidRDefault="00FD4B5F" w:rsidP="007E2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24A"/>
    <w:rsid w:val="00001626"/>
    <w:rsid w:val="00006774"/>
    <w:rsid w:val="00006BA7"/>
    <w:rsid w:val="00076053"/>
    <w:rsid w:val="00080B6B"/>
    <w:rsid w:val="00091BB9"/>
    <w:rsid w:val="00093D21"/>
    <w:rsid w:val="000B7E4D"/>
    <w:rsid w:val="000D0909"/>
    <w:rsid w:val="000D357C"/>
    <w:rsid w:val="000E7660"/>
    <w:rsid w:val="000F7BDA"/>
    <w:rsid w:val="00101FB4"/>
    <w:rsid w:val="001301B9"/>
    <w:rsid w:val="0013606D"/>
    <w:rsid w:val="00142087"/>
    <w:rsid w:val="0014508A"/>
    <w:rsid w:val="001468E6"/>
    <w:rsid w:val="00153359"/>
    <w:rsid w:val="0016642C"/>
    <w:rsid w:val="001B6694"/>
    <w:rsid w:val="001C41B9"/>
    <w:rsid w:val="001D2A5E"/>
    <w:rsid w:val="001E6D56"/>
    <w:rsid w:val="002530E5"/>
    <w:rsid w:val="00257131"/>
    <w:rsid w:val="00270094"/>
    <w:rsid w:val="00293808"/>
    <w:rsid w:val="002E0523"/>
    <w:rsid w:val="003371A8"/>
    <w:rsid w:val="00364F67"/>
    <w:rsid w:val="003652CE"/>
    <w:rsid w:val="00387287"/>
    <w:rsid w:val="003A1454"/>
    <w:rsid w:val="003B15BF"/>
    <w:rsid w:val="003D38CF"/>
    <w:rsid w:val="003E185A"/>
    <w:rsid w:val="00403720"/>
    <w:rsid w:val="00452E36"/>
    <w:rsid w:val="00467BF8"/>
    <w:rsid w:val="004717CD"/>
    <w:rsid w:val="004D6F13"/>
    <w:rsid w:val="004F78DA"/>
    <w:rsid w:val="005265C5"/>
    <w:rsid w:val="0053368E"/>
    <w:rsid w:val="00593AC0"/>
    <w:rsid w:val="00595122"/>
    <w:rsid w:val="00595CFD"/>
    <w:rsid w:val="00597E41"/>
    <w:rsid w:val="005F57DC"/>
    <w:rsid w:val="00640508"/>
    <w:rsid w:val="0064567B"/>
    <w:rsid w:val="00686443"/>
    <w:rsid w:val="006A5165"/>
    <w:rsid w:val="006B2F3F"/>
    <w:rsid w:val="006D211A"/>
    <w:rsid w:val="006F1C0A"/>
    <w:rsid w:val="00726102"/>
    <w:rsid w:val="00726D3C"/>
    <w:rsid w:val="00730510"/>
    <w:rsid w:val="007307FE"/>
    <w:rsid w:val="007412DB"/>
    <w:rsid w:val="00766150"/>
    <w:rsid w:val="0077454A"/>
    <w:rsid w:val="00775A0B"/>
    <w:rsid w:val="007C67B3"/>
    <w:rsid w:val="007E2DDC"/>
    <w:rsid w:val="007F65A7"/>
    <w:rsid w:val="008456E2"/>
    <w:rsid w:val="00850E20"/>
    <w:rsid w:val="00851387"/>
    <w:rsid w:val="00863229"/>
    <w:rsid w:val="00866894"/>
    <w:rsid w:val="008705BD"/>
    <w:rsid w:val="00891618"/>
    <w:rsid w:val="008B30EE"/>
    <w:rsid w:val="008B439B"/>
    <w:rsid w:val="008B6272"/>
    <w:rsid w:val="008C25C3"/>
    <w:rsid w:val="008E404B"/>
    <w:rsid w:val="008E62C5"/>
    <w:rsid w:val="009044E8"/>
    <w:rsid w:val="00916026"/>
    <w:rsid w:val="009162A7"/>
    <w:rsid w:val="00930C65"/>
    <w:rsid w:val="00933580"/>
    <w:rsid w:val="00963009"/>
    <w:rsid w:val="00981CA1"/>
    <w:rsid w:val="009B2BFF"/>
    <w:rsid w:val="009C4851"/>
    <w:rsid w:val="009C4D60"/>
    <w:rsid w:val="009D49B9"/>
    <w:rsid w:val="009D50EB"/>
    <w:rsid w:val="009E3606"/>
    <w:rsid w:val="009E47DF"/>
    <w:rsid w:val="009F7F60"/>
    <w:rsid w:val="00A26BB7"/>
    <w:rsid w:val="00A4482D"/>
    <w:rsid w:val="00A528B5"/>
    <w:rsid w:val="00A55A68"/>
    <w:rsid w:val="00A60BC3"/>
    <w:rsid w:val="00A7772D"/>
    <w:rsid w:val="00AB457E"/>
    <w:rsid w:val="00AC4BD8"/>
    <w:rsid w:val="00AD2CF4"/>
    <w:rsid w:val="00B24B70"/>
    <w:rsid w:val="00B604F9"/>
    <w:rsid w:val="00B73F63"/>
    <w:rsid w:val="00B74D14"/>
    <w:rsid w:val="00B96066"/>
    <w:rsid w:val="00BD434C"/>
    <w:rsid w:val="00BE53AF"/>
    <w:rsid w:val="00C03BBC"/>
    <w:rsid w:val="00C17B49"/>
    <w:rsid w:val="00C30B0E"/>
    <w:rsid w:val="00C32243"/>
    <w:rsid w:val="00C76759"/>
    <w:rsid w:val="00CB09B5"/>
    <w:rsid w:val="00CB63ED"/>
    <w:rsid w:val="00CC227B"/>
    <w:rsid w:val="00D079AA"/>
    <w:rsid w:val="00D3378D"/>
    <w:rsid w:val="00D34FE5"/>
    <w:rsid w:val="00D76B0C"/>
    <w:rsid w:val="00DA2316"/>
    <w:rsid w:val="00DB4655"/>
    <w:rsid w:val="00DC4EA3"/>
    <w:rsid w:val="00DC585A"/>
    <w:rsid w:val="00DD5296"/>
    <w:rsid w:val="00E30DC0"/>
    <w:rsid w:val="00E408AC"/>
    <w:rsid w:val="00E55981"/>
    <w:rsid w:val="00E77775"/>
    <w:rsid w:val="00E838FA"/>
    <w:rsid w:val="00EA3932"/>
    <w:rsid w:val="00EB524A"/>
    <w:rsid w:val="00F02EDD"/>
    <w:rsid w:val="00F06569"/>
    <w:rsid w:val="00F11F7C"/>
    <w:rsid w:val="00F132E6"/>
    <w:rsid w:val="00F2080A"/>
    <w:rsid w:val="00F26EF9"/>
    <w:rsid w:val="00F54250"/>
    <w:rsid w:val="00FB675A"/>
    <w:rsid w:val="00FD4B5F"/>
    <w:rsid w:val="00FD69C4"/>
    <w:rsid w:val="00FE2B45"/>
    <w:rsid w:val="3308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E0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E0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E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E0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2E05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E0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0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&#20811;&#24030;2009-2018&#24180;&#36130;&#25919;&#25910;&#25903;&#24773;&#20917;&#23545;&#27604;&#34920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2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&#20811;&#24030;2009-2018&#24180;&#36130;&#25919;&#25910;&#25903;&#24773;&#20917;&#23545;&#27604;&#34920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&#20811;&#24030;2009-2018&#24180;&#36130;&#25919;&#25910;&#25903;&#24773;&#20917;&#23545;&#27604;&#34920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&#20811;&#24030;2009-2018&#24180;&#36130;&#25919;&#25910;&#25903;&#24773;&#20917;&#23545;&#27604;&#34920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&#20811;&#24030;2009-2018&#24180;&#36130;&#25919;&#25910;&#25903;&#24773;&#20917;&#23545;&#27604;&#34920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&#20811;&#24030;2009-2018&#24180;&#36130;&#25919;&#25910;&#25903;&#24773;&#20917;&#23545;&#27604;&#34920;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&#20811;&#24030;2009-2018&#24180;&#36130;&#25919;&#25910;&#25903;&#24773;&#20917;&#23545;&#27604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&#20811;&#24030;2009-2018&#24180;&#36130;&#25919;&#25910;&#25903;&#24773;&#20917;&#23545;&#27604;&#34920;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&#20811;&#24030;2009-2018&#24180;&#36130;&#25919;&#25910;&#25903;&#24773;&#20917;&#23545;&#27604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2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3.&#22522;&#30784;&#31295;&#65288;&#23436;&#25104;&#25968;&#65289;\&#20811;&#24030;2009-2018&#24180;&#36130;&#25919;&#25910;&#25903;&#24773;&#20917;&#23545;&#27604;&#34920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9&#24180;&#24037;&#20316;\2019&#24180;&#25552;&#20132;&#20154;&#22823;\2019&#24180;&#39044;&#31639;\&#22522;&#30784;&#31295;\1%20&#20811;&#24030;&#20844;&#20849;&#36130;&#25919;2018&#24180;&#20811;&#24030;&#39044;&#31639;&#25191;&#34892;&#24773;&#20917;&#19982;2019&#24180;&#20811;&#24030;&#39044;&#31639;&#33609;&#26696;&#34920;&#26684;&#65288;&#26126;&#32454;&#34920;&#23450;&#65289;%20(&#33258;&#21160;&#20445;&#23384;&#30340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v>2015-2018年一般公共预算收入</c:v>
          </c:tx>
          <c:dLbls>
            <c:dLbl>
              <c:idx val="0"/>
              <c:layout>
                <c:manualLayout>
                  <c:x val="4.9889829899250103E-3"/>
                  <c:y val="8.771929824561403E-3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en-US" altLang="en-US" sz="1100" b="1"/>
                      <a:t>115945</a:t>
                    </a:r>
                    <a:r>
                      <a:rPr lang="zh-CN" altLang="en-US" sz="1100" b="1"/>
                      <a:t>万元</a:t>
                    </a:r>
                    <a:r>
                      <a:rPr lang="en-US" altLang="en-US" sz="1100" b="1"/>
                      <a:t> </a:t>
                    </a: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0"/>
                  <c:y val="-3.5087719298245612E-2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en-US" altLang="en-US" sz="1100" b="1"/>
                      <a:t>126383</a:t>
                    </a:r>
                    <a:r>
                      <a:rPr lang="zh-CN" altLang="en-US" sz="1100" b="1"/>
                      <a:t>万元</a:t>
                    </a:r>
                    <a:r>
                      <a:rPr lang="en-US" altLang="en-US" sz="1100" b="1"/>
                      <a:t> </a:t>
                    </a:r>
                  </a:p>
                </c:rich>
              </c:tx>
              <c:spPr/>
              <c:showVal val="1"/>
            </c:dLbl>
            <c:dLbl>
              <c:idx val="2"/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en-US" altLang="en-US" sz="1100" b="1"/>
                      <a:t>139054</a:t>
                    </a:r>
                    <a:r>
                      <a:rPr lang="zh-CN" altLang="en-US" sz="1100" b="1"/>
                      <a:t>万元</a:t>
                    </a:r>
                    <a:r>
                      <a:rPr lang="en-US" altLang="en-US" sz="1100" b="1"/>
                      <a:t> </a:t>
                    </a:r>
                  </a:p>
                </c:rich>
              </c:tx>
              <c:spPr/>
              <c:showVal val="1"/>
            </c:dLbl>
            <c:delete val="1"/>
          </c:dLbls>
          <c:cat>
            <c:strRef>
              <c:f>'2009-2017年财政收入情况'!$I$4:$K$4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'2009-2017年财政收入情况'!$I$30:$K$30</c:f>
              <c:numCache>
                <c:formatCode>0_);[Red]\(0\)</c:formatCode>
                <c:ptCount val="3"/>
                <c:pt idx="0">
                  <c:v>115945</c:v>
                </c:pt>
                <c:pt idx="1">
                  <c:v>126383</c:v>
                </c:pt>
                <c:pt idx="2">
                  <c:v>139054</c:v>
                </c:pt>
              </c:numCache>
            </c:numRef>
          </c:val>
        </c:ser>
        <c:axId val="200422912"/>
        <c:axId val="200424832"/>
      </c:barChart>
      <c:catAx>
        <c:axId val="2004229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zh-CN"/>
          </a:p>
        </c:txPr>
        <c:crossAx val="200424832"/>
        <c:crosses val="autoZero"/>
        <c:auto val="1"/>
        <c:lblAlgn val="ctr"/>
        <c:lblOffset val="100"/>
      </c:catAx>
      <c:valAx>
        <c:axId val="200424832"/>
        <c:scaling>
          <c:orientation val="minMax"/>
        </c:scaling>
        <c:axPos val="l"/>
        <c:majorGridlines/>
        <c:numFmt formatCode="0_);[Red]\(0\)" sourceLinked="1"/>
        <c:tickLblPos val="nextTo"/>
        <c:crossAx val="20042291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794322986074643E-2"/>
          <c:y val="0.11374201930405911"/>
          <c:w val="0.80329626839018375"/>
          <c:h val="0.75388241646266363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zh-CN" altLang="en-US"/>
                      <a:t>一般公共服务
</a:t>
                    </a:r>
                    <a:r>
                      <a:rPr lang="en-US" altLang="zh-CN"/>
                      <a:t>11%</a:t>
                    </a:r>
                    <a:endParaRPr lang="zh-CN" altLang="en-US"/>
                  </a:p>
                </c:rich>
              </c:tx>
              <c:showCatName val="1"/>
              <c:showPercent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8.2864216202394134E-2"/>
                  <c:y val="3.811733704634838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8.5503984695389446E-2"/>
                  <c:y val="-4.96550960177767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1.5338226324842554E-2"/>
                  <c:y val="7.090350361009156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5.3837212091308512E-2"/>
                  <c:y val="1.26488637318911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8.0634418654461248E-2"/>
                  <c:y val="-5.3786020879840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11"/>
              <c:layout>
                <c:manualLayout>
                  <c:x val="-6.1097509157869413E-2"/>
                  <c:y val="6.06763976809305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12"/>
              <c:layout>
                <c:manualLayout>
                  <c:x val="-0.13579727510471021"/>
                  <c:y val="6.212416543360038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zh-CN" altLang="en-US"/>
                      <a:t>交通运输
</a:t>
                    </a:r>
                    <a:r>
                      <a:rPr lang="en-US" altLang="zh-CN"/>
                      <a:t>4%</a:t>
                    </a:r>
                    <a:endParaRPr lang="zh-CN" altLang="en-US"/>
                  </a:p>
                </c:rich>
              </c:tx>
              <c:spPr/>
              <c:dLblPos val="bestFit"/>
              <c:showCatName val="1"/>
              <c:showPercent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delete val="1"/>
            </c:dLbl>
            <c:dLbl>
              <c:idx val="18"/>
              <c:layout>
                <c:manualLayout>
                  <c:x val="3.3328878929298332E-2"/>
                  <c:y val="-2.382286733731237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CatName val="1"/>
              <c:showPercent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delete val="1"/>
            </c:dLbl>
            <c:dLbl>
              <c:idx val="23"/>
              <c:delete val="1"/>
            </c:dLbl>
            <c:showCatName val="1"/>
            <c:showPercent val="1"/>
            <c:showLeaderLines val="1"/>
          </c:dLbls>
          <c:cat>
            <c:strRef>
              <c:f>'2018年全州支出'!$A$4:$A$27</c:f>
              <c:strCache>
                <c:ptCount val="24"/>
                <c:pt idx="0">
                  <c:v>一、一般公共服务</c:v>
                </c:pt>
                <c:pt idx="1">
                  <c:v>二、外交</c:v>
                </c:pt>
                <c:pt idx="2">
                  <c:v>三、国防</c:v>
                </c:pt>
                <c:pt idx="3">
                  <c:v>公共安全</c:v>
                </c:pt>
                <c:pt idx="4">
                  <c:v>教育</c:v>
                </c:pt>
                <c:pt idx="5">
                  <c:v>六、科学技术</c:v>
                </c:pt>
                <c:pt idx="6">
                  <c:v>七、文化体育与传媒</c:v>
                </c:pt>
                <c:pt idx="7">
                  <c:v>社会保障和就业</c:v>
                </c:pt>
                <c:pt idx="8">
                  <c:v>医疗卫生与计划生育</c:v>
                </c:pt>
                <c:pt idx="9">
                  <c:v>十、节能环保</c:v>
                </c:pt>
                <c:pt idx="10">
                  <c:v>城乡社区事务</c:v>
                </c:pt>
                <c:pt idx="11">
                  <c:v>农林水</c:v>
                </c:pt>
                <c:pt idx="12">
                  <c:v>十三、交通运输</c:v>
                </c:pt>
                <c:pt idx="13">
                  <c:v>十四、资源勘探电力信息等事务</c:v>
                </c:pt>
                <c:pt idx="14">
                  <c:v>十五、商业服务业等事务</c:v>
                </c:pt>
                <c:pt idx="15">
                  <c:v>十六、金融</c:v>
                </c:pt>
                <c:pt idx="16">
                  <c:v>十七、援助其他地区</c:v>
                </c:pt>
                <c:pt idx="17">
                  <c:v>十八、国土资源气象等事务</c:v>
                </c:pt>
                <c:pt idx="18">
                  <c:v>住房保障支出</c:v>
                </c:pt>
                <c:pt idx="19">
                  <c:v>二十、粮油物资储备事务</c:v>
                </c:pt>
                <c:pt idx="20">
                  <c:v>二十一、预备费</c:v>
                </c:pt>
                <c:pt idx="21">
                  <c:v>二十二、其他支出</c:v>
                </c:pt>
                <c:pt idx="22">
                  <c:v>二十三、债务付息支出</c:v>
                </c:pt>
                <c:pt idx="23">
                  <c:v>二十四、债务发行费用支出</c:v>
                </c:pt>
              </c:strCache>
            </c:strRef>
          </c:cat>
          <c:val>
            <c:numRef>
              <c:f>'2018年全州支出'!$E$4:$E$27</c:f>
              <c:numCache>
                <c:formatCode>#,##0</c:formatCode>
                <c:ptCount val="24"/>
                <c:pt idx="0">
                  <c:v>202687</c:v>
                </c:pt>
                <c:pt idx="1">
                  <c:v>310</c:v>
                </c:pt>
                <c:pt idx="2">
                  <c:v>670</c:v>
                </c:pt>
                <c:pt idx="3">
                  <c:v>228062</c:v>
                </c:pt>
                <c:pt idx="4">
                  <c:v>323891</c:v>
                </c:pt>
                <c:pt idx="5">
                  <c:v>1986</c:v>
                </c:pt>
                <c:pt idx="6">
                  <c:v>18491</c:v>
                </c:pt>
                <c:pt idx="7">
                  <c:v>175703</c:v>
                </c:pt>
                <c:pt idx="8">
                  <c:v>103556</c:v>
                </c:pt>
                <c:pt idx="9">
                  <c:v>9309</c:v>
                </c:pt>
                <c:pt idx="10">
                  <c:v>63846</c:v>
                </c:pt>
                <c:pt idx="11">
                  <c:v>465962</c:v>
                </c:pt>
                <c:pt idx="12">
                  <c:v>69848</c:v>
                </c:pt>
                <c:pt idx="13">
                  <c:v>2685</c:v>
                </c:pt>
                <c:pt idx="14">
                  <c:v>3749</c:v>
                </c:pt>
                <c:pt idx="15">
                  <c:v>0</c:v>
                </c:pt>
                <c:pt idx="16">
                  <c:v>0</c:v>
                </c:pt>
                <c:pt idx="17">
                  <c:v>5549</c:v>
                </c:pt>
                <c:pt idx="18">
                  <c:v>65826</c:v>
                </c:pt>
                <c:pt idx="19">
                  <c:v>534</c:v>
                </c:pt>
                <c:pt idx="21">
                  <c:v>47001</c:v>
                </c:pt>
                <c:pt idx="22">
                  <c:v>15179</c:v>
                </c:pt>
                <c:pt idx="23">
                  <c:v>342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5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2.9617662897145951E-2"/>
          <c:y val="5.0040355125100876E-2"/>
          <c:w val="0.94076467420570864"/>
          <c:h val="0.81567462965434523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6.9471238178037504E-3"/>
                  <c:y val="-3.521126760563385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100" b="1"/>
                      <a:t>900246</a:t>
                    </a:r>
                    <a:r>
                      <a:rPr lang="zh-CN" altLang="en-US" sz="1100" b="1"/>
                      <a:t>万元</a:t>
                    </a:r>
                    <a:endParaRPr lang="en-US" altLang="en-US" sz="1100" b="1"/>
                  </a:p>
                </c:rich>
              </c:tx>
              <c:showVal val="1"/>
            </c:dLbl>
            <c:dLbl>
              <c:idx val="1"/>
              <c:layout>
                <c:manualLayout>
                  <c:x val="1.1578539696339608E-2"/>
                  <c:y val="-7.042253521126756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100" b="1"/>
                      <a:t>982181</a:t>
                    </a:r>
                    <a:r>
                      <a:rPr lang="zh-CN" altLang="en-US" sz="1100" b="1"/>
                      <a:t>万元</a:t>
                    </a:r>
                    <a:endParaRPr lang="en-US" altLang="en-US" sz="1100" b="1"/>
                  </a:p>
                </c:rich>
              </c:tx>
              <c:showVal val="1"/>
            </c:dLbl>
            <c:dLbl>
              <c:idx val="2"/>
              <c:layout>
                <c:manualLayout>
                  <c:x val="9.2628317570716788E-3"/>
                  <c:y val="-4.92957746478873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100" b="1"/>
                      <a:t>1298952</a:t>
                    </a:r>
                    <a:r>
                      <a:rPr lang="zh-CN" altLang="en-US" sz="1100" b="1"/>
                      <a:t>万元</a:t>
                    </a:r>
                    <a:endParaRPr lang="en-US" altLang="en-US" sz="1100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zh-CN"/>
              </a:p>
            </c:txPr>
            <c:showVal val="1"/>
          </c:dLbls>
          <c:cat>
            <c:strRef>
              <c:f>'2009年和2017年民生支出对比表'!$I$3:$K$3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'2009年和2017年民生支出对比表'!$I$14:$K$14</c:f>
              <c:numCache>
                <c:formatCode>General</c:formatCode>
                <c:ptCount val="3"/>
                <c:pt idx="0">
                  <c:v>900246</c:v>
                </c:pt>
                <c:pt idx="1">
                  <c:v>982181</c:v>
                </c:pt>
                <c:pt idx="2">
                  <c:v>1298952</c:v>
                </c:pt>
              </c:numCache>
            </c:numRef>
          </c:val>
        </c:ser>
        <c:dLbls>
          <c:showVal val="1"/>
        </c:dLbls>
        <c:shape val="cylinder"/>
        <c:axId val="228870016"/>
        <c:axId val="228871552"/>
        <c:axId val="0"/>
      </c:bar3DChart>
      <c:catAx>
        <c:axId val="2288700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zh-CN"/>
          </a:p>
        </c:txPr>
        <c:crossAx val="228871552"/>
        <c:crosses val="autoZero"/>
        <c:auto val="1"/>
        <c:lblAlgn val="ctr"/>
        <c:lblOffset val="100"/>
      </c:catAx>
      <c:valAx>
        <c:axId val="228871552"/>
        <c:scaling>
          <c:orientation val="minMax"/>
        </c:scaling>
        <c:delete val="1"/>
        <c:axPos val="l"/>
        <c:numFmt formatCode="General" sourceLinked="1"/>
        <c:tickLblPos val="nextTo"/>
        <c:crossAx val="228870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8487970253718"/>
                  <c:y val="6.765748031496057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教育</a:t>
                    </a:r>
                    <a:r>
                      <a:rPr lang="en-US" altLang="zh-CN" sz="1200"/>
                      <a:t>
24%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dLbl>
              <c:idx val="2"/>
              <c:layout>
                <c:manualLayout>
                  <c:x val="7.5318794504680806E-2"/>
                  <c:y val="-8.3384396901070454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社会保障支出</a:t>
                    </a:r>
                    <a:r>
                      <a:rPr lang="en-US" altLang="zh-CN" sz="1200"/>
                      <a:t>
13%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1465247830832E-2"/>
                  <c:y val="-4.0298497990716442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医疗卫生支出</a:t>
                    </a:r>
                    <a:r>
                      <a:rPr lang="en-US" altLang="zh-CN" sz="1200"/>
                      <a:t>
8%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</c:dLbl>
            <c:dLbl>
              <c:idx val="5"/>
              <c:layout>
                <c:manualLayout>
                  <c:x val="-0.11659970783304886"/>
                  <c:y val="-3.1272762657712509E-4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城乡社区事务支出</a:t>
                    </a:r>
                    <a:r>
                      <a:rPr lang="en-US" altLang="zh-CN" sz="1200"/>
                      <a:t>
5%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4428489897471722E-2"/>
                  <c:y val="-3.7340806830225212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农林水事务支出</a:t>
                    </a:r>
                    <a:r>
                      <a:rPr lang="en-US" altLang="zh-CN" sz="1200"/>
                      <a:t>
37%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6231320154624598"/>
                  <c:y val="0.22869556265235336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交通运输支出</a:t>
                    </a:r>
                    <a:r>
                      <a:rPr lang="en-US" altLang="zh-CN" sz="1200"/>
                      <a:t>
5%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220756586277846"/>
                  <c:y val="1.503738983268550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/>
                      <a:t>住房保障支出</a:t>
                    </a:r>
                    <a:r>
                      <a:rPr lang="en-US" altLang="zh-CN" sz="1200"/>
                      <a:t>
5%</a:t>
                    </a:r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val>
            <c:numRef>
              <c:f>'2018年民生支出情况表'!$C$4:$C$13</c:f>
              <c:numCache>
                <c:formatCode>_ * #,##0_ ;_ * \-#,##0_ ;_ * "-"_ ;_ @_ </c:formatCode>
                <c:ptCount val="10"/>
                <c:pt idx="0">
                  <c:v>297256</c:v>
                </c:pt>
                <c:pt idx="1">
                  <c:v>23895</c:v>
                </c:pt>
                <c:pt idx="2">
                  <c:v>165087</c:v>
                </c:pt>
                <c:pt idx="3">
                  <c:v>98354</c:v>
                </c:pt>
                <c:pt idx="4">
                  <c:v>9323</c:v>
                </c:pt>
                <c:pt idx="5">
                  <c:v>62042</c:v>
                </c:pt>
                <c:pt idx="6">
                  <c:v>461902</c:v>
                </c:pt>
                <c:pt idx="7">
                  <c:v>69664</c:v>
                </c:pt>
                <c:pt idx="8">
                  <c:v>67672</c:v>
                </c:pt>
                <c:pt idx="9">
                  <c:v>507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'2009-2017克州财政支出情况'!$G$39</c:f>
              <c:strCache>
                <c:ptCount val="1"/>
                <c:pt idx="0">
                  <c:v>人均支出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388888888888891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/>
                      <a:t>1.98</a:t>
                    </a:r>
                    <a:r>
                      <a:rPr lang="zh-CN" altLang="en-US" sz="1050"/>
                      <a:t>万元</a:t>
                    </a:r>
                    <a:r>
                      <a:rPr lang="en-US" altLang="en-US" sz="1050"/>
                      <a:t> </a:t>
                    </a:r>
                  </a:p>
                </c:rich>
              </c:tx>
              <c:dLblPos val="inEnd"/>
              <c:showVal val="1"/>
            </c:dLbl>
            <c:dLbl>
              <c:idx val="1"/>
              <c:layout>
                <c:manualLayout>
                  <c:x val="0"/>
                  <c:y val="9.2592592592592865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/>
                      <a:t>2.31</a:t>
                    </a:r>
                    <a:r>
                      <a:rPr lang="zh-CN" altLang="en-US" sz="1050"/>
                      <a:t>万元</a:t>
                    </a:r>
                    <a:r>
                      <a:rPr lang="en-US" altLang="en-US" sz="1050"/>
                      <a:t> </a:t>
                    </a:r>
                  </a:p>
                </c:rich>
              </c:tx>
              <c:dLblPos val="inEnd"/>
              <c:showVal val="1"/>
            </c:dLbl>
            <c:dLbl>
              <c:idx val="2"/>
              <c:layout>
                <c:manualLayout>
                  <c:x val="0"/>
                  <c:y val="9.2592592592592865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/>
                      <a:t>2.87</a:t>
                    </a:r>
                    <a:r>
                      <a:rPr lang="zh-CN" altLang="en-US" sz="1050"/>
                      <a:t>万元</a:t>
                    </a:r>
                    <a:r>
                      <a:rPr lang="en-US" altLang="en-US" sz="1050"/>
                      <a:t> </a:t>
                    </a:r>
                  </a:p>
                </c:rich>
              </c:tx>
              <c:dLblPos val="inEnd"/>
              <c:showVal val="1"/>
            </c:dLbl>
            <c:spPr>
              <a:gradFill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  <c:txPr>
              <a:bodyPr/>
              <a:lstStyle/>
              <a:p>
                <a:pPr>
                  <a:defRPr sz="1050"/>
                </a:pPr>
                <a:endParaRPr lang="zh-CN"/>
              </a:p>
            </c:txPr>
            <c:dLblPos val="inEnd"/>
            <c:showVal val="1"/>
          </c:dLbls>
          <c:cat>
            <c:strRef>
              <c:f>'2009-2017克州财政支出情况'!$I$4:$K$4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'2009-2017克州财政支出情况'!$I$39:$K$39</c:f>
              <c:numCache>
                <c:formatCode>0.00_ </c:formatCode>
                <c:ptCount val="3"/>
                <c:pt idx="0">
                  <c:v>1.975463470543062</c:v>
                </c:pt>
                <c:pt idx="1">
                  <c:v>2.3099190932514331</c:v>
                </c:pt>
                <c:pt idx="2">
                  <c:v>2.8653746031746028</c:v>
                </c:pt>
              </c:numCache>
            </c:numRef>
          </c:val>
        </c:ser>
        <c:overlap val="100"/>
        <c:axId val="228954496"/>
        <c:axId val="228956032"/>
      </c:barChart>
      <c:catAx>
        <c:axId val="228954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zh-CN"/>
          </a:p>
        </c:txPr>
        <c:crossAx val="228956032"/>
        <c:crosses val="autoZero"/>
        <c:auto val="1"/>
        <c:lblAlgn val="ctr"/>
        <c:lblOffset val="100"/>
      </c:catAx>
      <c:valAx>
        <c:axId val="228956032"/>
        <c:scaling>
          <c:orientation val="minMax"/>
        </c:scaling>
        <c:axPos val="l"/>
        <c:majorGridlines/>
        <c:numFmt formatCode="0.00_ " sourceLinked="1"/>
        <c:tickLblPos val="nextTo"/>
        <c:crossAx val="22895449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8"/>
  <c:chart>
    <c:title>
      <c:tx>
        <c:rich>
          <a:bodyPr/>
          <a:lstStyle/>
          <a:p>
            <a:pPr>
              <a:defRPr/>
            </a:pPr>
            <a:r>
              <a:rPr lang="en-US"/>
              <a:t>2015——2018</a:t>
            </a:r>
            <a:r>
              <a:rPr lang="zh-CN"/>
              <a:t>年争取转移支付情况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4.9443757725587184E-3"/>
                  <c:y val="-4.5081967213114714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100" b="1"/>
                      <a:t>1034657</a:t>
                    </a:r>
                    <a:r>
                      <a:rPr lang="zh-CN" altLang="en-US" sz="1100" b="1"/>
                      <a:t>万元</a:t>
                    </a:r>
                    <a:r>
                      <a:rPr lang="en-US" altLang="en-US" sz="1100" b="1"/>
                      <a:t> 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2360939431396786E-2"/>
                  <c:y val="-4.918032786885247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100" b="1"/>
                      <a:t>1134202</a:t>
                    </a:r>
                    <a:r>
                      <a:rPr lang="zh-CN" altLang="en-US" sz="1100" b="1"/>
                      <a:t>万元</a:t>
                    </a:r>
                    <a:r>
                      <a:rPr lang="en-US" altLang="en-US" sz="1100" b="1"/>
                      <a:t> 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2360939431396786E-2"/>
                  <c:y val="-4.098360655737703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100" b="1"/>
                      <a:t>1380933</a:t>
                    </a:r>
                    <a:r>
                      <a:rPr lang="zh-CN" altLang="en-US" sz="1100" b="1"/>
                      <a:t>万元</a:t>
                    </a:r>
                    <a:r>
                      <a:rPr lang="en-US" altLang="en-US" sz="1100" b="1"/>
                      <a:t> 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zh-CN"/>
              </a:p>
            </c:txPr>
            <c:showVal val="1"/>
          </c:dLbls>
          <c:cat>
            <c:strRef>
              <c:f>'2009-2017年自治区补助情况'!$I$4:$K$5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'2009-2017年自治区补助情况'!$I$6:$K$6</c:f>
              <c:numCache>
                <c:formatCode>0_);[Red]\(0\)</c:formatCode>
                <c:ptCount val="3"/>
                <c:pt idx="0">
                  <c:v>1034657</c:v>
                </c:pt>
                <c:pt idx="1">
                  <c:v>1134202</c:v>
                </c:pt>
                <c:pt idx="2">
                  <c:v>1380932.9183999996</c:v>
                </c:pt>
              </c:numCache>
            </c:numRef>
          </c:val>
        </c:ser>
        <c:dLbls>
          <c:showVal val="1"/>
        </c:dLbls>
        <c:shape val="cylinder"/>
        <c:axId val="228984320"/>
        <c:axId val="228985856"/>
        <c:axId val="0"/>
      </c:bar3DChart>
      <c:catAx>
        <c:axId val="2289843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zh-CN"/>
          </a:p>
        </c:txPr>
        <c:crossAx val="228985856"/>
        <c:crosses val="autoZero"/>
        <c:auto val="1"/>
        <c:lblAlgn val="ctr"/>
        <c:lblOffset val="100"/>
      </c:catAx>
      <c:valAx>
        <c:axId val="228985856"/>
        <c:scaling>
          <c:orientation val="minMax"/>
        </c:scaling>
        <c:delete val="1"/>
        <c:axPos val="l"/>
        <c:numFmt formatCode="0_);[Red]\(0\)" sourceLinked="1"/>
        <c:tickLblPos val="nextTo"/>
        <c:crossAx val="228984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一般性转移支付</c:v>
          </c:tx>
          <c:dLbls>
            <c:delete val="1"/>
          </c:dLbls>
          <c:cat>
            <c:strRef>
              <c:f>'2009-2017年自治区补助情况'!$I$4:$K$5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'2009-2017年自治区补助情况'!$I$7:$K$7</c:f>
              <c:numCache>
                <c:formatCode>0_);[Red]\(0\)</c:formatCode>
                <c:ptCount val="3"/>
                <c:pt idx="0">
                  <c:v>640451</c:v>
                </c:pt>
                <c:pt idx="1">
                  <c:v>613655</c:v>
                </c:pt>
                <c:pt idx="2">
                  <c:v>779561.58</c:v>
                </c:pt>
              </c:numCache>
            </c:numRef>
          </c:val>
        </c:ser>
        <c:ser>
          <c:idx val="1"/>
          <c:order val="1"/>
          <c:tx>
            <c:v>专项转移支付</c:v>
          </c:tx>
          <c:dLbls>
            <c:delete val="1"/>
          </c:dLbls>
          <c:cat>
            <c:strRef>
              <c:f>'2009-2017年自治区补助情况'!$I$4:$K$5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'2009-2017年自治区补助情况'!$I$28:$K$28</c:f>
              <c:numCache>
                <c:formatCode>0_);[Red]\(0\)</c:formatCode>
                <c:ptCount val="3"/>
                <c:pt idx="0">
                  <c:v>394206</c:v>
                </c:pt>
                <c:pt idx="1">
                  <c:v>520547</c:v>
                </c:pt>
                <c:pt idx="2">
                  <c:v>598191.59289999888</c:v>
                </c:pt>
              </c:numCache>
            </c:numRef>
          </c:val>
        </c:ser>
        <c:dLbls>
          <c:showVal val="1"/>
        </c:dLbls>
        <c:shape val="cylinder"/>
        <c:axId val="229031296"/>
        <c:axId val="229033088"/>
        <c:axId val="0"/>
      </c:bar3DChart>
      <c:catAx>
        <c:axId val="229031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 b="1"/>
            </a:pPr>
            <a:endParaRPr lang="zh-CN"/>
          </a:p>
        </c:txPr>
        <c:crossAx val="229033088"/>
        <c:crosses val="autoZero"/>
        <c:auto val="1"/>
        <c:lblAlgn val="ctr"/>
        <c:lblOffset val="100"/>
      </c:catAx>
      <c:valAx>
        <c:axId val="229033088"/>
        <c:scaling>
          <c:orientation val="minMax"/>
        </c:scaling>
        <c:delete val="1"/>
        <c:axPos val="l"/>
        <c:numFmt formatCode="0_);[Red]\(0\)" sourceLinked="1"/>
        <c:tickLblPos val="nextTo"/>
        <c:crossAx val="22903129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/>
          </a:pPr>
          <a:endParaRPr lang="zh-CN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本级</c:v>
          </c:tx>
          <c:dLbls>
            <c:delete val="1"/>
          </c:dLbls>
          <c:cat>
            <c:strRef>
              <c:f>'2018年克州对下转移支付资金情况表'!$O$3:$O$5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'2018年克州对下转移支付资金情况表'!$Q$3:$Q$5</c:f>
              <c:numCache>
                <c:formatCode>General</c:formatCode>
                <c:ptCount val="3"/>
                <c:pt idx="0">
                  <c:v>181448</c:v>
                </c:pt>
                <c:pt idx="1">
                  <c:v>252951</c:v>
                </c:pt>
                <c:pt idx="2">
                  <c:v>233343.49369999956</c:v>
                </c:pt>
              </c:numCache>
            </c:numRef>
          </c:val>
        </c:ser>
        <c:ser>
          <c:idx val="1"/>
          <c:order val="1"/>
          <c:tx>
            <c:v>转移支付县市</c:v>
          </c:tx>
          <c:dLbls>
            <c:delete val="1"/>
          </c:dLbls>
          <c:cat>
            <c:strRef>
              <c:f>'2018年克州对下转移支付资金情况表'!$O$3:$O$5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'2018年克州对下转移支付资金情况表'!$R$3:$R$5</c:f>
              <c:numCache>
                <c:formatCode>General</c:formatCode>
                <c:ptCount val="3"/>
                <c:pt idx="0">
                  <c:v>853209</c:v>
                </c:pt>
                <c:pt idx="1">
                  <c:v>879068</c:v>
                </c:pt>
                <c:pt idx="2">
                  <c:v>1144409.6792000001</c:v>
                </c:pt>
              </c:numCache>
            </c:numRef>
          </c:val>
        </c:ser>
        <c:dLbls>
          <c:showVal val="1"/>
        </c:dLbls>
        <c:shape val="cylinder"/>
        <c:axId val="229053952"/>
        <c:axId val="229055488"/>
        <c:axId val="0"/>
      </c:bar3DChart>
      <c:catAx>
        <c:axId val="2290539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 b="1"/>
            </a:pPr>
            <a:endParaRPr lang="zh-CN"/>
          </a:p>
        </c:txPr>
        <c:crossAx val="229055488"/>
        <c:crosses val="autoZero"/>
        <c:auto val="1"/>
        <c:lblAlgn val="ctr"/>
        <c:lblOffset val="100"/>
      </c:catAx>
      <c:valAx>
        <c:axId val="229055488"/>
        <c:scaling>
          <c:orientation val="minMax"/>
        </c:scaling>
        <c:delete val="1"/>
        <c:axPos val="l"/>
        <c:numFmt formatCode="General" sourceLinked="1"/>
        <c:tickLblPos val="nextTo"/>
        <c:crossAx val="229053952"/>
        <c:crosses val="autoZero"/>
        <c:crossBetween val="between"/>
      </c:valAx>
    </c:plotArea>
    <c:legend>
      <c:legendPos val="t"/>
      <c:txPr>
        <a:bodyPr/>
        <a:lstStyle/>
        <a:p>
          <a:pPr>
            <a:defRPr sz="1100"/>
          </a:pPr>
          <a:endParaRPr lang="zh-CN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4880031765138801"/>
                  <c:y val="5.4261453285958409E-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20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本级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
17%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6732041773146539E-2"/>
                  <c:y val="1.9521947200043903E-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20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转移支付县（市）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
83%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val>
            <c:numRef>
              <c:f>'2018年克州对下转移支付资金情况表'!$D$5:$E$5</c:f>
              <c:numCache>
                <c:formatCode>0_ </c:formatCode>
                <c:ptCount val="2"/>
                <c:pt idx="0">
                  <c:v>233343.49369999944</c:v>
                </c:pt>
                <c:pt idx="1">
                  <c:v>1144409.6792000001</c:v>
                </c:pt>
              </c:numCache>
            </c:numRef>
          </c:val>
        </c:ser>
        <c:dLbls>
          <c:showCatName val="1"/>
          <c:showPercent val="1"/>
        </c:dLbls>
        <c:firstSliceAng val="15"/>
      </c:pieChart>
      <c:spPr>
        <a:noFill/>
        <a:ln>
          <a:noFill/>
        </a:ln>
        <a:effectLst/>
      </c:spPr>
    </c:plotArea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2222222222222251E-2"/>
                  <c:y val="-6.018518518518514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/>
                      <a:t>139706</a:t>
                    </a:r>
                    <a:r>
                      <a:rPr lang="zh-CN" altLang="en-US" sz="1050"/>
                      <a:t>万元</a:t>
                    </a:r>
                    <a:r>
                      <a:rPr lang="en-US" altLang="en-US" sz="1050"/>
                      <a:t> 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8.3333333333333367E-3"/>
                  <c:y val="-4.629629629629643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/>
                      <a:t>220700</a:t>
                    </a:r>
                    <a:r>
                      <a:rPr lang="zh-CN" altLang="en-US" sz="1050"/>
                      <a:t>万元</a:t>
                    </a:r>
                    <a:r>
                      <a:rPr lang="en-US" altLang="en-US" sz="1050"/>
                      <a:t> 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5000000000000001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050"/>
                      <a:t>294435</a:t>
                    </a:r>
                    <a:r>
                      <a:rPr lang="zh-CN" altLang="en-US" sz="1050"/>
                      <a:t>万元</a:t>
                    </a:r>
                    <a:r>
                      <a:rPr lang="en-US" altLang="en-US" sz="1050"/>
                      <a:t> 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/>
                </a:pPr>
                <a:endParaRPr lang="zh-CN"/>
              </a:p>
            </c:txPr>
            <c:showVal val="1"/>
          </c:dLbls>
          <c:cat>
            <c:strRef>
              <c:f>'2009-2017年自治区补助情况'!$I$4:$K$5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'2009-2017年自治区补助情况'!$I$31:$K$31</c:f>
              <c:numCache>
                <c:formatCode>0_ </c:formatCode>
                <c:ptCount val="3"/>
                <c:pt idx="0">
                  <c:v>139706</c:v>
                </c:pt>
                <c:pt idx="1">
                  <c:v>220700</c:v>
                </c:pt>
                <c:pt idx="2">
                  <c:v>294435</c:v>
                </c:pt>
              </c:numCache>
            </c:numRef>
          </c:val>
        </c:ser>
        <c:dLbls>
          <c:showVal val="1"/>
        </c:dLbls>
        <c:shape val="cylinder"/>
        <c:axId val="229123584"/>
        <c:axId val="229125120"/>
        <c:axId val="0"/>
      </c:bar3DChart>
      <c:catAx>
        <c:axId val="2291235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zh-CN"/>
          </a:p>
        </c:txPr>
        <c:crossAx val="229125120"/>
        <c:crosses val="autoZero"/>
        <c:auto val="1"/>
        <c:lblAlgn val="ctr"/>
        <c:lblOffset val="100"/>
      </c:catAx>
      <c:valAx>
        <c:axId val="229125120"/>
        <c:scaling>
          <c:orientation val="minMax"/>
        </c:scaling>
        <c:delete val="1"/>
        <c:axPos val="l"/>
        <c:numFmt formatCode="0_ " sourceLinked="1"/>
        <c:tickLblPos val="nextTo"/>
        <c:crossAx val="2291235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置换债券</c:v>
          </c:tx>
          <c:dLbls>
            <c:dLbl>
              <c:idx val="0"/>
              <c:layout>
                <c:manualLayout>
                  <c:x val="0"/>
                  <c:y val="-6.0518738854834567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74706</a:t>
                    </a:r>
                    <a:r>
                      <a:rPr lang="zh-CN" altLang="en-US"/>
                      <a:t>万元</a:t>
                    </a:r>
                    <a:r>
                      <a:rPr lang="en-US" altLang="en-US"/>
                      <a:t> 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0323467986173868E-2"/>
                  <c:y val="-3.890490354953635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27500</a:t>
                    </a:r>
                    <a:r>
                      <a:rPr lang="zh-CN" altLang="en-US" sz="1000" b="0" i="0" u="none" strike="noStrike" baseline="0"/>
                      <a:t>万元</a:t>
                    </a:r>
                    <a:endParaRPr lang="en-US" alt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8066068975804362E-2"/>
                  <c:y val="-2.593660236635757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65600</a:t>
                    </a:r>
                    <a:r>
                      <a:rPr lang="zh-CN" altLang="en-US" sz="1000" b="0" i="0" u="none" strike="noStrike" baseline="0"/>
                      <a:t>万元</a:t>
                    </a:r>
                    <a:endParaRPr lang="en-US" altLang="en-US"/>
                  </a:p>
                </c:rich>
              </c:tx>
              <c:showVal val="1"/>
            </c:dLbl>
            <c:showVal val="1"/>
          </c:dLbls>
          <c:cat>
            <c:strRef>
              <c:f>'2009-2017年自治区补助情况'!$I$4:$K$5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'2009-2017年自治区补助情况'!$I$32:$K$32</c:f>
              <c:numCache>
                <c:formatCode>0_ </c:formatCode>
                <c:ptCount val="3"/>
                <c:pt idx="0">
                  <c:v>74706</c:v>
                </c:pt>
                <c:pt idx="1">
                  <c:v>27500</c:v>
                </c:pt>
                <c:pt idx="2">
                  <c:v>65600</c:v>
                </c:pt>
              </c:numCache>
            </c:numRef>
          </c:val>
        </c:ser>
        <c:ser>
          <c:idx val="1"/>
          <c:order val="1"/>
          <c:tx>
            <c:v>新增债券</c:v>
          </c:tx>
          <c:dLbls>
            <c:dLbl>
              <c:idx val="0"/>
              <c:layout>
                <c:manualLayout>
                  <c:x val="1.5485201979260803E-2"/>
                  <c:y val="-1.7291068244238435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65000</a:t>
                    </a:r>
                    <a:r>
                      <a:rPr lang="zh-CN" altLang="en-US"/>
                      <a:t>万元</a:t>
                    </a:r>
                    <a:r>
                      <a:rPr lang="en-US" altLang="en-US"/>
                      <a:t> 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5.1617339930869434E-3"/>
                  <c:y val="-3.458213648847686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193200</a:t>
                    </a:r>
                    <a:r>
                      <a:rPr lang="zh-CN" altLang="en-US" sz="1000" b="0" i="0" u="none" strike="noStrike" baseline="0"/>
                      <a:t>万元</a:t>
                    </a:r>
                    <a:endParaRPr lang="en-US" alt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7.7426009896304189E-3"/>
                  <c:y val="-3.458213648847686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228835</a:t>
                    </a:r>
                    <a:r>
                      <a:rPr lang="zh-CN" altLang="en-US" sz="1000" b="0" i="0" u="none" strike="noStrike" baseline="0"/>
                      <a:t>万元</a:t>
                    </a:r>
                    <a:endParaRPr lang="en-US" altLang="en-US"/>
                  </a:p>
                </c:rich>
              </c:tx>
              <c:showVal val="1"/>
            </c:dLbl>
            <c:showVal val="1"/>
          </c:dLbls>
          <c:cat>
            <c:strRef>
              <c:f>'2009-2017年自治区补助情况'!$I$4:$K$5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'2009-2017年自治区补助情况'!$I$33:$K$33</c:f>
              <c:numCache>
                <c:formatCode>0_ </c:formatCode>
                <c:ptCount val="3"/>
                <c:pt idx="0">
                  <c:v>65000</c:v>
                </c:pt>
                <c:pt idx="1">
                  <c:v>193200</c:v>
                </c:pt>
                <c:pt idx="2">
                  <c:v>228835</c:v>
                </c:pt>
              </c:numCache>
            </c:numRef>
          </c:val>
        </c:ser>
        <c:dLbls>
          <c:showVal val="1"/>
        </c:dLbls>
        <c:gapWidth val="75"/>
        <c:shape val="cylinder"/>
        <c:axId val="229150720"/>
        <c:axId val="229152256"/>
        <c:axId val="0"/>
      </c:bar3DChart>
      <c:catAx>
        <c:axId val="2291507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 b="1"/>
            </a:pPr>
            <a:endParaRPr lang="zh-CN"/>
          </a:p>
        </c:txPr>
        <c:crossAx val="229152256"/>
        <c:crosses val="autoZero"/>
        <c:auto val="1"/>
        <c:lblAlgn val="ctr"/>
        <c:lblOffset val="100"/>
      </c:catAx>
      <c:valAx>
        <c:axId val="229152256"/>
        <c:scaling>
          <c:orientation val="minMax"/>
        </c:scaling>
        <c:axPos val="l"/>
        <c:numFmt formatCode="0_ " sourceLinked="1"/>
        <c:majorTickMark val="none"/>
        <c:tickLblPos val="nextTo"/>
        <c:crossAx val="229150720"/>
        <c:crosses val="autoZero"/>
        <c:crossBetween val="between"/>
      </c:valAx>
    </c:plotArea>
    <c:legend>
      <c:legendPos val="b"/>
      <c:txPr>
        <a:bodyPr/>
        <a:lstStyle/>
        <a:p>
          <a:pPr>
            <a:defRPr sz="1200"/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5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一般公共预算收入增长率</c:v>
          </c:tx>
          <c:dLbls>
            <c:dLbl>
              <c:idx val="0"/>
              <c:layout>
                <c:manualLayout>
                  <c:x val="2.5462668816040214E-17"/>
                  <c:y val="-7.40740740740740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/>
                      <a:t>增长</a:t>
                    </a:r>
                    <a:r>
                      <a:rPr lang="en-US" altLang="en-US" sz="1200" b="1"/>
                      <a:t>5.67%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5.0925337632080396E-17"/>
                  <c:y val="-6.4814814814814964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u="none" strike="noStrike" baseline="0"/>
                      <a:t>增长</a:t>
                    </a:r>
                    <a:r>
                      <a:rPr lang="en-US" altLang="en-US" sz="1200" b="1"/>
                      <a:t>9.00%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-6.9444444444444503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u="none" strike="noStrike" baseline="0"/>
                      <a:t>增长</a:t>
                    </a:r>
                    <a:r>
                      <a:rPr lang="en-US" altLang="en-US" sz="1200" b="1"/>
                      <a:t>10.03%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zh-CN"/>
              </a:p>
            </c:txPr>
            <c:showVal val="1"/>
          </c:dLbls>
          <c:cat>
            <c:strRef>
              <c:f>'2009-2017年财政收入情况'!$I$4:$K$4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'2009-2017年财政收入情况'!$I$35:$K$35</c:f>
              <c:numCache>
                <c:formatCode>0.00%</c:formatCode>
                <c:ptCount val="3"/>
                <c:pt idx="0">
                  <c:v>5.6725695172300673E-2</c:v>
                </c:pt>
                <c:pt idx="1">
                  <c:v>9.0025443098020894E-2</c:v>
                </c:pt>
                <c:pt idx="2">
                  <c:v>0.1002587373301789</c:v>
                </c:pt>
              </c:numCache>
            </c:numRef>
          </c:val>
        </c:ser>
        <c:dLbls>
          <c:showVal val="1"/>
        </c:dLbls>
        <c:shape val="cylinder"/>
        <c:axId val="207252096"/>
        <c:axId val="207253888"/>
        <c:axId val="0"/>
      </c:bar3DChart>
      <c:catAx>
        <c:axId val="2072520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zh-CN"/>
          </a:p>
        </c:txPr>
        <c:crossAx val="207253888"/>
        <c:crosses val="autoZero"/>
        <c:auto val="1"/>
        <c:lblAlgn val="ctr"/>
        <c:lblOffset val="100"/>
      </c:catAx>
      <c:valAx>
        <c:axId val="207253888"/>
        <c:scaling>
          <c:orientation val="minMax"/>
        </c:scaling>
        <c:delete val="1"/>
        <c:axPos val="l"/>
        <c:numFmt formatCode="0.00%" sourceLinked="1"/>
        <c:tickLblPos val="nextTo"/>
        <c:crossAx val="20725209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 sz="1100" b="1"/>
          </a:pPr>
          <a:endParaRPr lang="zh-CN"/>
        </a:p>
      </c:txPr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2016</a:t>
            </a:r>
            <a:r>
              <a:rPr lang="zh-CN" sz="1800" b="1" i="0" baseline="0"/>
              <a:t>年新增债券资金分配情况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4861614173228427"/>
                  <c:y val="4.1776027996500738E-4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</a:defRPr>
                    </a:pPr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本级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5%</a:t>
                    </a:r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0.24205034960210794"/>
                  <c:y val="-0.10013969588284058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</a:defRPr>
                    </a:pPr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转贷县市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95%</a:t>
                    </a:r>
                  </a:p>
                </c:rich>
              </c:tx>
              <c:spPr/>
              <c:showPercent val="1"/>
            </c:dLbl>
            <c:showPercent val="1"/>
            <c:showLeaderLines val="1"/>
          </c:dLbls>
          <c:val>
            <c:numRef>
              <c:f>'2018年克州对下转移支付资金情况表'!$S$21:$T$21</c:f>
              <c:numCache>
                <c:formatCode>General</c:formatCode>
                <c:ptCount val="2"/>
                <c:pt idx="0">
                  <c:v>3000</c:v>
                </c:pt>
                <c:pt idx="1">
                  <c:v>62000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000"/>
            </a:pPr>
            <a:r>
              <a:rPr lang="en-US" sz="1800" b="1" i="0" baseline="0"/>
              <a:t>2017</a:t>
            </a:r>
            <a:r>
              <a:rPr lang="zh-CN" sz="1800" b="1" i="0" baseline="0"/>
              <a:t>新增债券资金分配情况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655746285210696"/>
                  <c:y val="3.232407791131381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本级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9%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0.20545212728172021"/>
                  <c:y val="-0.10047078325735599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转贷县市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91%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'2018年克州对下转移支付资金情况表'!$D$4:$E$4</c:f>
              <c:strCache>
                <c:ptCount val="2"/>
                <c:pt idx="0">
                  <c:v>本级
</c:v>
                </c:pt>
                <c:pt idx="1">
                  <c:v>县市
</c:v>
                </c:pt>
              </c:strCache>
            </c:strRef>
          </c:cat>
          <c:val>
            <c:numRef>
              <c:f>'2018年克州对下转移支付资金情况表'!$F$45:$G$45</c:f>
              <c:numCache>
                <c:formatCode>0_ </c:formatCode>
                <c:ptCount val="2"/>
                <c:pt idx="0" formatCode="General">
                  <c:v>16500</c:v>
                </c:pt>
                <c:pt idx="1">
                  <c:v>176700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000"/>
            </a:pPr>
            <a:r>
              <a:rPr lang="en-US" sz="1800" b="1" i="0" baseline="0"/>
              <a:t>2018</a:t>
            </a:r>
            <a:r>
              <a:rPr lang="zh-CN" sz="1800" b="1" i="0" baseline="0"/>
              <a:t>年</a:t>
            </a:r>
            <a:r>
              <a:rPr lang="zh-CN" altLang="en-US" sz="1800" b="1" i="0" baseline="0"/>
              <a:t>新增债券资金分配</a:t>
            </a:r>
            <a:r>
              <a:rPr lang="zh-CN" sz="1800" b="1" i="0" baseline="0"/>
              <a:t>情况</a:t>
            </a:r>
            <a:endParaRPr lang="zh-CN" sz="18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9"/>
          <c:dLbls>
            <c:dLbl>
              <c:idx val="0"/>
              <c:layout>
                <c:manualLayout>
                  <c:x val="0.16845881262193546"/>
                  <c:y val="3.8821968530320695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</a:defRPr>
                    </a:pPr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本级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3%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0.30119864020127751"/>
                  <c:y val="-8.8984258391181265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</a:defRPr>
                    </a:pPr>
                    <a:r>
                      <a:rPr lang="zh-CN" altLang="en-US" sz="1200">
                        <a:solidFill>
                          <a:srgbClr val="FF0000"/>
                        </a:solidFill>
                      </a:rPr>
                      <a:t>转贷县市</a:t>
                    </a:r>
                    <a:r>
                      <a:rPr lang="en-US" altLang="zh-CN" sz="1200">
                        <a:solidFill>
                          <a:srgbClr val="FF0000"/>
                        </a:solidFill>
                      </a:rPr>
                      <a:t>97%</a:t>
                    </a:r>
                  </a:p>
                </c:rich>
              </c:tx>
              <c:spPr/>
              <c:dLblPos val="bestFit"/>
            </c:dLbl>
            <c:txPr>
              <a:bodyPr/>
              <a:lstStyle/>
              <a:p>
                <a:pPr>
                  <a:defRPr sz="1200"/>
                </a:pPr>
                <a:endParaRPr lang="zh-CN"/>
              </a:p>
            </c:txPr>
            <c:showPercent val="1"/>
            <c:showLeaderLines val="1"/>
          </c:dLbls>
          <c:cat>
            <c:strRef>
              <c:f>'2018年克州对下转移支付资金情况表'!$D$4:$E$4</c:f>
              <c:strCache>
                <c:ptCount val="2"/>
                <c:pt idx="0">
                  <c:v>本级
</c:v>
                </c:pt>
                <c:pt idx="1">
                  <c:v>县市
</c:v>
                </c:pt>
              </c:strCache>
            </c:strRef>
          </c:cat>
          <c:val>
            <c:numRef>
              <c:f>'2018年克州对下转移支付资金情况表'!$D$30:$E$30</c:f>
              <c:numCache>
                <c:formatCode>0_ </c:formatCode>
                <c:ptCount val="2"/>
                <c:pt idx="0">
                  <c:v>6500</c:v>
                </c:pt>
                <c:pt idx="1">
                  <c:v>222335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title>
      <c:tx>
        <c:rich>
          <a:bodyPr/>
          <a:lstStyle/>
          <a:p>
            <a:pPr>
              <a:defRPr/>
            </a:pPr>
            <a:r>
              <a:rPr lang="en-US" altLang="zh-CN"/>
              <a:t>2016</a:t>
            </a:r>
            <a:r>
              <a:rPr lang="zh-CN" altLang="en-US"/>
              <a:t>年一般公共预算税收、非税占比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6676095555739266E-2"/>
                  <c:y val="0.10724273219809617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/>
                      <a:t>税收收入</a:t>
                    </a:r>
                    <a:r>
                      <a:rPr lang="en-US" altLang="zh-CN" sz="1200" b="1"/>
                      <a:t>67%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6.351277518881572E-2"/>
                  <c:y val="-7.8669329969686425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/>
                      <a:t>非税收入</a:t>
                    </a:r>
                    <a:r>
                      <a:rPr lang="en-US" altLang="zh-CN" sz="1200" b="1"/>
                      <a:t>33%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zh-CN"/>
              </a:p>
            </c:txPr>
            <c:showPercent val="1"/>
            <c:showLeaderLines val="1"/>
          </c:dLbls>
          <c:val>
            <c:numRef>
              <c:f>('2009-2017年财政收入情况'!$I$5,'2009-2017年财政收入情况'!$I$21)</c:f>
              <c:numCache>
                <c:formatCode>0_);[Red]\(0\)</c:formatCode>
                <c:ptCount val="2"/>
                <c:pt idx="0">
                  <c:v>77664</c:v>
                </c:pt>
                <c:pt idx="1">
                  <c:v>38281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2017</a:t>
            </a:r>
            <a:r>
              <a:rPr lang="zh-CN" sz="1800" b="1" i="0" baseline="0"/>
              <a:t>年一般公共预算税收</a:t>
            </a:r>
            <a:r>
              <a:rPr lang="zh-CN" altLang="en-US" sz="1800" b="1" i="0" baseline="0"/>
              <a:t>、非税</a:t>
            </a:r>
            <a:r>
              <a:rPr lang="zh-CN" sz="1800" b="1" i="0" baseline="0"/>
              <a:t>占比</a:t>
            </a:r>
            <a:endParaRPr lang="zh-CN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8918853893263342E-2"/>
                  <c:y val="1.302420530766988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/>
                      <a:t>税收收入</a:t>
                    </a:r>
                    <a:r>
                      <a:rPr lang="en-US" altLang="zh-CN" sz="1200" b="1"/>
                      <a:t>71%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9.2622047244094508E-2"/>
                  <c:y val="-5.7173009623797025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/>
                      <a:t>非税收入</a:t>
                    </a:r>
                    <a:r>
                      <a:rPr lang="en-US" altLang="zh-CN" sz="1200" b="1"/>
                      <a:t>29%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zh-CN"/>
              </a:p>
            </c:txPr>
            <c:showPercent val="1"/>
            <c:showLeaderLines val="1"/>
          </c:dLbls>
          <c:val>
            <c:numRef>
              <c:f>(Sheet1!$D$4,Sheet1!$D$24)</c:f>
              <c:numCache>
                <c:formatCode>_ * #,##0_ ;_ * \-#,##0_ ;_ * "-"??_ ;_ @_ </c:formatCode>
                <c:ptCount val="2"/>
                <c:pt idx="0" formatCode="_ * #,##0_ ;_ * \-#,##0_ ;_ * &quot;-&quot;_ ;_ @_ ">
                  <c:v>89721</c:v>
                </c:pt>
                <c:pt idx="1">
                  <c:v>36662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2018</a:t>
            </a:r>
            <a:r>
              <a:rPr lang="zh-CN" sz="1800" b="1" i="0" baseline="0"/>
              <a:t>年一般公共预算税收、非税占比</a:t>
            </a:r>
            <a:endParaRPr lang="zh-CN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0304921968787505"/>
                  <c:y val="-1.2314382580558638E-2"/>
                </c:manualLayout>
              </c:layout>
              <c:tx>
                <c:rich>
                  <a:bodyPr/>
                  <a:lstStyle/>
                  <a:p>
                    <a:r>
                      <a:rPr lang="zh-CN" sz="1200" b="1"/>
                      <a:t>税收收入</a:t>
                    </a:r>
                    <a:r>
                      <a:rPr lang="en-US" sz="1200" b="1"/>
                      <a:t>
73%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0.12307446448226229"/>
                  <c:y val="7.6373840998334733E-2"/>
                </c:manualLayout>
              </c:layout>
              <c:tx>
                <c:rich>
                  <a:bodyPr/>
                  <a:lstStyle/>
                  <a:p>
                    <a:r>
                      <a:rPr lang="zh-CN" sz="1200" b="1"/>
                      <a:t>非税收入</a:t>
                    </a:r>
                    <a:r>
                      <a:rPr lang="en-US" sz="1200" b="1"/>
                      <a:t>
27%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200" b="1"/>
                </a:pPr>
                <a:endParaRPr lang="zh-CN"/>
              </a:p>
            </c:txPr>
            <c:showCatName val="1"/>
            <c:showPercent val="1"/>
            <c:showLeaderLines val="1"/>
          </c:dLbls>
          <c:val>
            <c:numRef>
              <c:f>(Sheet1!$E$4,Sheet1!$E$24)</c:f>
              <c:numCache>
                <c:formatCode>_ * #,##0_ ;_ * \-#,##0_ ;_ * "-"??_ ;_ @_ </c:formatCode>
                <c:ptCount val="2"/>
                <c:pt idx="0" formatCode="_ * #,##0_ ;_ * \-#,##0_ ;_ * &quot;-&quot;_ ;_ @_ ">
                  <c:v>102004</c:v>
                </c:pt>
                <c:pt idx="1">
                  <c:v>37014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2016年</c:v>
          </c:tx>
          <c:cat>
            <c:strRef>
              <c:f>('2018年全州收入'!$B$5,'2018年全州收入'!$B$6,'2018年全州收入'!$B$8,'2018年全州收入'!$B$10,'2018年全州收入'!$B$11,'2018年全州收入'!$B$13)</c:f>
              <c:strCache>
                <c:ptCount val="6"/>
                <c:pt idx="0">
                  <c:v>    增值税</c:v>
                </c:pt>
                <c:pt idx="1">
                  <c:v>    营改增</c:v>
                </c:pt>
                <c:pt idx="2">
                  <c:v>    企业所得税</c:v>
                </c:pt>
                <c:pt idx="3">
                  <c:v>    个人所得税</c:v>
                </c:pt>
                <c:pt idx="4">
                  <c:v>    资源税</c:v>
                </c:pt>
                <c:pt idx="5">
                  <c:v>    城市维护建设税</c:v>
                </c:pt>
              </c:strCache>
            </c:strRef>
          </c:cat>
          <c:val>
            <c:numRef>
              <c:f>('2018年全州收入'!$C$5,'2018年全州收入'!$C$6,'2018年全州收入'!$C$8,'2018年全州收入'!$C$10,'2018年全州收入'!$C$11,'2018年全州收入'!$C$13)</c:f>
              <c:numCache>
                <c:formatCode>_ * #,##0_ ;_ * \-#,##0_ ;_ * "-"??_ ;_ @_ </c:formatCode>
                <c:ptCount val="6"/>
                <c:pt idx="0">
                  <c:v>13939</c:v>
                </c:pt>
                <c:pt idx="1">
                  <c:v>10976</c:v>
                </c:pt>
                <c:pt idx="2">
                  <c:v>6328</c:v>
                </c:pt>
                <c:pt idx="3">
                  <c:v>9038</c:v>
                </c:pt>
                <c:pt idx="4">
                  <c:v>7257</c:v>
                </c:pt>
                <c:pt idx="5">
                  <c:v>4021</c:v>
                </c:pt>
              </c:numCache>
            </c:numRef>
          </c:val>
        </c:ser>
        <c:ser>
          <c:idx val="1"/>
          <c:order val="1"/>
          <c:tx>
            <c:v>2017年</c:v>
          </c:tx>
          <c:cat>
            <c:strRef>
              <c:f>('2018年全州收入'!$B$5,'2018年全州收入'!$B$6,'2018年全州收入'!$B$8,'2018年全州收入'!$B$10,'2018年全州收入'!$B$11,'2018年全州收入'!$B$13)</c:f>
              <c:strCache>
                <c:ptCount val="6"/>
                <c:pt idx="0">
                  <c:v>    增值税</c:v>
                </c:pt>
                <c:pt idx="1">
                  <c:v>    营改增</c:v>
                </c:pt>
                <c:pt idx="2">
                  <c:v>    企业所得税</c:v>
                </c:pt>
                <c:pt idx="3">
                  <c:v>    个人所得税</c:v>
                </c:pt>
                <c:pt idx="4">
                  <c:v>    资源税</c:v>
                </c:pt>
                <c:pt idx="5">
                  <c:v>    城市维护建设税</c:v>
                </c:pt>
              </c:strCache>
            </c:strRef>
          </c:cat>
          <c:val>
            <c:numRef>
              <c:f>('2018年全州收入'!$D$5,'2018年全州收入'!$D$6,'2018年全州收入'!$D$8,'2018年全州收入'!$D$10,'2018年全州收入'!$D$11,'2018年全州收入'!$D$13)</c:f>
              <c:numCache>
                <c:formatCode>_ * #,##0_ ;_ * \-#,##0_ ;_ * "-"??_ ;_ @_ </c:formatCode>
                <c:ptCount val="6"/>
                <c:pt idx="0">
                  <c:v>28238</c:v>
                </c:pt>
                <c:pt idx="1">
                  <c:v>18485</c:v>
                </c:pt>
                <c:pt idx="2">
                  <c:v>7802</c:v>
                </c:pt>
                <c:pt idx="3">
                  <c:v>7326</c:v>
                </c:pt>
                <c:pt idx="4">
                  <c:v>12198</c:v>
                </c:pt>
                <c:pt idx="5">
                  <c:v>4300</c:v>
                </c:pt>
              </c:numCache>
            </c:numRef>
          </c:val>
        </c:ser>
        <c:ser>
          <c:idx val="2"/>
          <c:order val="2"/>
          <c:tx>
            <c:v>2018年</c:v>
          </c:tx>
          <c:cat>
            <c:strRef>
              <c:f>('2018年全州收入'!$B$5,'2018年全州收入'!$B$6,'2018年全州收入'!$B$8,'2018年全州收入'!$B$10,'2018年全州收入'!$B$11,'2018年全州收入'!$B$13)</c:f>
              <c:strCache>
                <c:ptCount val="6"/>
                <c:pt idx="0">
                  <c:v>    增值税</c:v>
                </c:pt>
                <c:pt idx="1">
                  <c:v>    营改增</c:v>
                </c:pt>
                <c:pt idx="2">
                  <c:v>    企业所得税</c:v>
                </c:pt>
                <c:pt idx="3">
                  <c:v>    个人所得税</c:v>
                </c:pt>
                <c:pt idx="4">
                  <c:v>    资源税</c:v>
                </c:pt>
                <c:pt idx="5">
                  <c:v>    城市维护建设税</c:v>
                </c:pt>
              </c:strCache>
            </c:strRef>
          </c:cat>
          <c:val>
            <c:numRef>
              <c:f>('2018年全州收入'!$E$5,'2018年全州收入'!$E$6,'2018年全州收入'!$E$8,'2018年全州收入'!$E$10,'2018年全州收入'!$E$11,'2018年全州收入'!$E$13)</c:f>
              <c:numCache>
                <c:formatCode>_ * #,##0_ ;_ * \-#,##0_ ;_ * "-"??_ ;_ @_ </c:formatCode>
                <c:ptCount val="6"/>
                <c:pt idx="0">
                  <c:v>29789</c:v>
                </c:pt>
                <c:pt idx="1">
                  <c:v>19078</c:v>
                </c:pt>
                <c:pt idx="2">
                  <c:v>14168</c:v>
                </c:pt>
                <c:pt idx="3">
                  <c:v>7994</c:v>
                </c:pt>
                <c:pt idx="4">
                  <c:v>15438</c:v>
                </c:pt>
                <c:pt idx="5">
                  <c:v>4587</c:v>
                </c:pt>
              </c:numCache>
            </c:numRef>
          </c:val>
        </c:ser>
        <c:shape val="cylinder"/>
        <c:axId val="207354112"/>
        <c:axId val="207368192"/>
        <c:axId val="0"/>
      </c:bar3DChart>
      <c:catAx>
        <c:axId val="207354112"/>
        <c:scaling>
          <c:orientation val="minMax"/>
        </c:scaling>
        <c:axPos val="b"/>
        <c:numFmt formatCode="General" sourceLinked="1"/>
        <c:majorTickMark val="none"/>
        <c:tickLblPos val="nextTo"/>
        <c:crossAx val="207368192"/>
        <c:crosses val="autoZero"/>
        <c:auto val="1"/>
        <c:lblAlgn val="ctr"/>
        <c:lblOffset val="100"/>
      </c:catAx>
      <c:valAx>
        <c:axId val="207368192"/>
        <c:scaling>
          <c:orientation val="minMax"/>
        </c:scaling>
        <c:axPos val="l"/>
        <c:majorGridlines/>
        <c:numFmt formatCode="_ * #,##0_ ;_ * \-#,##0_ ;_ * &quot;-&quot;??_ ;_ @_ " sourceLinked="1"/>
        <c:majorTickMark val="none"/>
        <c:tickLblPos val="nextTo"/>
        <c:crossAx val="207354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2016年</c:v>
          </c:tx>
          <c:cat>
            <c:strRef>
              <c:f>(Sheet1!$B$25:$B$27,Sheet1!$B$29:$B$31)</c:f>
              <c:strCache>
                <c:ptCount val="6"/>
                <c:pt idx="0">
                  <c:v>    专项收入</c:v>
                </c:pt>
                <c:pt idx="1">
                  <c:v>    行政事业性收费</c:v>
                </c:pt>
                <c:pt idx="2">
                  <c:v>    罚没收入</c:v>
                </c:pt>
                <c:pt idx="3">
                  <c:v>    国有资源有偿使用</c:v>
                </c:pt>
                <c:pt idx="4">
                  <c:v>    捐赠收入</c:v>
                </c:pt>
                <c:pt idx="5">
                  <c:v>    政府住房基金收入</c:v>
                </c:pt>
              </c:strCache>
            </c:strRef>
          </c:cat>
          <c:val>
            <c:numRef>
              <c:f>(Sheet1!$C$25:$C$27,Sheet1!$C$29:$C$31)</c:f>
              <c:numCache>
                <c:formatCode>_ * #,##0_ ;_ * \-#,##0_ ;_ * "-"??_ ;_ @_ </c:formatCode>
                <c:ptCount val="6"/>
                <c:pt idx="0">
                  <c:v>4815</c:v>
                </c:pt>
                <c:pt idx="1">
                  <c:v>19966</c:v>
                </c:pt>
                <c:pt idx="2">
                  <c:v>2614</c:v>
                </c:pt>
                <c:pt idx="3">
                  <c:v>7218</c:v>
                </c:pt>
                <c:pt idx="4">
                  <c:v>401</c:v>
                </c:pt>
                <c:pt idx="5">
                  <c:v>2929</c:v>
                </c:pt>
              </c:numCache>
            </c:numRef>
          </c:val>
        </c:ser>
        <c:ser>
          <c:idx val="1"/>
          <c:order val="1"/>
          <c:tx>
            <c:v>2017年</c:v>
          </c:tx>
          <c:cat>
            <c:strRef>
              <c:f>(Sheet1!$B$25:$B$27,Sheet1!$B$29:$B$31)</c:f>
              <c:strCache>
                <c:ptCount val="6"/>
                <c:pt idx="0">
                  <c:v>    专项收入</c:v>
                </c:pt>
                <c:pt idx="1">
                  <c:v>    行政事业性收费</c:v>
                </c:pt>
                <c:pt idx="2">
                  <c:v>    罚没收入</c:v>
                </c:pt>
                <c:pt idx="3">
                  <c:v>    国有资源有偿使用</c:v>
                </c:pt>
                <c:pt idx="4">
                  <c:v>    捐赠收入</c:v>
                </c:pt>
                <c:pt idx="5">
                  <c:v>    政府住房基金收入</c:v>
                </c:pt>
              </c:strCache>
            </c:strRef>
          </c:cat>
          <c:val>
            <c:numRef>
              <c:f>(Sheet1!$D$25:$D$27,Sheet1!$D$29:$D$31)</c:f>
              <c:numCache>
                <c:formatCode>_ * #,##0_ ;_ * \-#,##0_ ;_ * "-"??_ ;_ @_ </c:formatCode>
                <c:ptCount val="6"/>
                <c:pt idx="0">
                  <c:v>5179</c:v>
                </c:pt>
                <c:pt idx="1">
                  <c:v>15881</c:v>
                </c:pt>
                <c:pt idx="2">
                  <c:v>6860</c:v>
                </c:pt>
                <c:pt idx="3">
                  <c:v>6697</c:v>
                </c:pt>
                <c:pt idx="4">
                  <c:v>220</c:v>
                </c:pt>
                <c:pt idx="5">
                  <c:v>1469</c:v>
                </c:pt>
              </c:numCache>
            </c:numRef>
          </c:val>
        </c:ser>
        <c:ser>
          <c:idx val="2"/>
          <c:order val="2"/>
          <c:tx>
            <c:v>2018年</c:v>
          </c:tx>
          <c:cat>
            <c:strRef>
              <c:f>(Sheet1!$B$25:$B$27,Sheet1!$B$29:$B$31)</c:f>
              <c:strCache>
                <c:ptCount val="6"/>
                <c:pt idx="0">
                  <c:v>    专项收入</c:v>
                </c:pt>
                <c:pt idx="1">
                  <c:v>    行政事业性收费</c:v>
                </c:pt>
                <c:pt idx="2">
                  <c:v>    罚没收入</c:v>
                </c:pt>
                <c:pt idx="3">
                  <c:v>    国有资源有偿使用</c:v>
                </c:pt>
                <c:pt idx="4">
                  <c:v>    捐赠收入</c:v>
                </c:pt>
                <c:pt idx="5">
                  <c:v>    政府住房基金收入</c:v>
                </c:pt>
              </c:strCache>
            </c:strRef>
          </c:cat>
          <c:val>
            <c:numRef>
              <c:f>(Sheet1!$E$25:$E$27,Sheet1!$E$29:$E$31)</c:f>
              <c:numCache>
                <c:formatCode>_ * #,##0_ ;_ * \-#,##0_ ;_ * "-"??_ ;_ @_ </c:formatCode>
                <c:ptCount val="6"/>
                <c:pt idx="0">
                  <c:v>6240</c:v>
                </c:pt>
                <c:pt idx="1">
                  <c:v>14592</c:v>
                </c:pt>
                <c:pt idx="2">
                  <c:v>8433</c:v>
                </c:pt>
                <c:pt idx="3">
                  <c:v>3475</c:v>
                </c:pt>
                <c:pt idx="4">
                  <c:v>2529</c:v>
                </c:pt>
                <c:pt idx="5">
                  <c:v>1739</c:v>
                </c:pt>
              </c:numCache>
            </c:numRef>
          </c:val>
        </c:ser>
        <c:shape val="cylinder"/>
        <c:axId val="207390976"/>
        <c:axId val="207396864"/>
        <c:axId val="0"/>
      </c:bar3DChart>
      <c:catAx>
        <c:axId val="2073909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07396864"/>
        <c:crosses val="autoZero"/>
        <c:auto val="1"/>
        <c:lblAlgn val="ctr"/>
        <c:lblOffset val="100"/>
      </c:catAx>
      <c:valAx>
        <c:axId val="207396864"/>
        <c:scaling>
          <c:orientation val="minMax"/>
        </c:scaling>
        <c:axPos val="l"/>
        <c:majorGridlines/>
        <c:numFmt formatCode="_ * #,##0_ ;_ * \-#,##0_ ;_ * &quot;-&quot;??_ ;_ @_ " sourceLinked="1"/>
        <c:majorTickMark val="none"/>
        <c:tickLblPos val="nextTo"/>
        <c:crossAx val="20739097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/>
          </a:pPr>
          <a:endParaRPr lang="zh-CN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plotArea>
      <c:layout>
        <c:manualLayout>
          <c:layoutTarget val="inner"/>
          <c:xMode val="edge"/>
          <c:yMode val="edge"/>
          <c:x val="0.12625288679646157"/>
          <c:y val="5.485333677552609E-2"/>
          <c:w val="0.75226425499305982"/>
          <c:h val="0.8158614917229835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 sz="1050" b="1"/>
                      <a:t>1191001</a:t>
                    </a:r>
                    <a:r>
                      <a:rPr lang="zh-CN" altLang="en-US" sz="1050" b="1"/>
                      <a:t>万元</a:t>
                    </a:r>
                    <a:r>
                      <a:rPr lang="en-US" altLang="en-US" sz="1050" b="1"/>
                      <a:t> 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 sz="1050" b="1"/>
                      <a:t>1433515</a:t>
                    </a:r>
                    <a:r>
                      <a:rPr lang="zh-CN" altLang="en-US" sz="1050" b="1"/>
                      <a:t>万元</a:t>
                    </a:r>
                    <a:r>
                      <a:rPr lang="en-US" altLang="en-US" sz="1050" b="1"/>
                      <a:t> 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en-US" sz="1050" b="1"/>
                      <a:t>1805186</a:t>
                    </a:r>
                    <a:r>
                      <a:rPr lang="zh-CN" altLang="en-US" sz="1050" b="1"/>
                      <a:t>万元</a:t>
                    </a:r>
                    <a:r>
                      <a:rPr lang="en-US" altLang="en-US" sz="1050" b="1"/>
                      <a:t> 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Val val="1"/>
          </c:dLbls>
          <c:trendline>
            <c:trendlineType val="linear"/>
          </c:trendline>
          <c:trendline>
            <c:trendlineType val="linear"/>
          </c:trendline>
          <c:cat>
            <c:strRef>
              <c:f>'2009-2017克州财政支出情况'!$I$4:$K$4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</c:strCache>
            </c:strRef>
          </c:cat>
          <c:val>
            <c:numRef>
              <c:f>'2009-2017克州财政支出情况'!$I$29:$K$29</c:f>
              <c:numCache>
                <c:formatCode>0_);[Red]\(0\)</c:formatCode>
                <c:ptCount val="3"/>
                <c:pt idx="0">
                  <c:v>1191001</c:v>
                </c:pt>
                <c:pt idx="1">
                  <c:v>1433515</c:v>
                </c:pt>
                <c:pt idx="2">
                  <c:v>1805186</c:v>
                </c:pt>
              </c:numCache>
            </c:numRef>
          </c:val>
        </c:ser>
        <c:axId val="207418496"/>
        <c:axId val="207420032"/>
      </c:barChart>
      <c:catAx>
        <c:axId val="207418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zh-CN"/>
          </a:p>
        </c:txPr>
        <c:crossAx val="207420032"/>
        <c:crosses val="autoZero"/>
        <c:auto val="1"/>
        <c:lblAlgn val="ctr"/>
        <c:lblOffset val="100"/>
      </c:catAx>
      <c:valAx>
        <c:axId val="207420032"/>
        <c:scaling>
          <c:orientation val="minMax"/>
        </c:scaling>
        <c:axPos val="l"/>
        <c:majorGridlines/>
        <c:numFmt formatCode="0_);[Red]\(0\)" sourceLinked="1"/>
        <c:tickLblPos val="nextTo"/>
        <c:crossAx val="20741849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2017年</c:v>
          </c:tx>
          <c:cat>
            <c:strRef>
              <c:f>('2018年全州支出-2（）'!$A$7,'2018年全州支出-2（）'!$A$8,'2018年全州支出-2（）'!$A$11,'2018年全州支出-2（）'!$A$12,'2018年全州支出-2（）'!$A$14,'2018年全州支出-2（）'!$A$15,'2018年全州支出-2（）'!$A$22)</c:f>
              <c:strCache>
                <c:ptCount val="7"/>
                <c:pt idx="0">
                  <c:v>公共安全</c:v>
                </c:pt>
                <c:pt idx="1">
                  <c:v>教育</c:v>
                </c:pt>
                <c:pt idx="2">
                  <c:v>社会保障和就业</c:v>
                </c:pt>
                <c:pt idx="3">
                  <c:v>医疗卫生与计划生育</c:v>
                </c:pt>
                <c:pt idx="4">
                  <c:v>城乡社区事务</c:v>
                </c:pt>
                <c:pt idx="5">
                  <c:v>农林水</c:v>
                </c:pt>
                <c:pt idx="6">
                  <c:v>住房保障支出</c:v>
                </c:pt>
              </c:strCache>
            </c:strRef>
          </c:cat>
          <c:val>
            <c:numRef>
              <c:f>('2018年全州支出-2（）'!$C$7,'2018年全州支出-2（）'!$C$8,'2018年全州支出-2（）'!$C$11,'2018年全州支出-2（）'!$C$12,'2018年全州支出-2（）'!$C$14,'2018年全州支出-2（）'!$C$15,'2018年全州支出-2（）'!$C$22)</c:f>
              <c:numCache>
                <c:formatCode>#,##0</c:formatCode>
                <c:ptCount val="7"/>
                <c:pt idx="0">
                  <c:v>87351</c:v>
                </c:pt>
                <c:pt idx="1">
                  <c:v>257523</c:v>
                </c:pt>
                <c:pt idx="2">
                  <c:v>152830</c:v>
                </c:pt>
                <c:pt idx="3">
                  <c:v>98536</c:v>
                </c:pt>
                <c:pt idx="4">
                  <c:v>63700</c:v>
                </c:pt>
                <c:pt idx="5">
                  <c:v>189310</c:v>
                </c:pt>
                <c:pt idx="6">
                  <c:v>83305</c:v>
                </c:pt>
              </c:numCache>
            </c:numRef>
          </c:val>
        </c:ser>
        <c:ser>
          <c:idx val="1"/>
          <c:order val="1"/>
          <c:tx>
            <c:v>2018年</c:v>
          </c:tx>
          <c:cat>
            <c:strRef>
              <c:f>('2018年全州支出-2（）'!$A$7,'2018年全州支出-2（）'!$A$8,'2018年全州支出-2（）'!$A$11,'2018年全州支出-2（）'!$A$12,'2018年全州支出-2（）'!$A$14,'2018年全州支出-2（）'!$A$15,'2018年全州支出-2（）'!$A$22)</c:f>
              <c:strCache>
                <c:ptCount val="7"/>
                <c:pt idx="0">
                  <c:v>公共安全</c:v>
                </c:pt>
                <c:pt idx="1">
                  <c:v>教育</c:v>
                </c:pt>
                <c:pt idx="2">
                  <c:v>社会保障和就业</c:v>
                </c:pt>
                <c:pt idx="3">
                  <c:v>医疗卫生与计划生育</c:v>
                </c:pt>
                <c:pt idx="4">
                  <c:v>城乡社区事务</c:v>
                </c:pt>
                <c:pt idx="5">
                  <c:v>农林水</c:v>
                </c:pt>
                <c:pt idx="6">
                  <c:v>住房保障支出</c:v>
                </c:pt>
              </c:strCache>
            </c:strRef>
          </c:cat>
          <c:val>
            <c:numRef>
              <c:f>('2018年全州支出-2（）'!$D$7,'2018年全州支出-2（）'!$D$8,'2018年全州支出-2（）'!$D$11,'2018年全州支出-2（）'!$D$12,'2018年全州支出-2（）'!$D$14,'2018年全州支出-2（）'!$D$15,'2018年全州支出-2（）'!$D$22)</c:f>
              <c:numCache>
                <c:formatCode>#,##0</c:formatCode>
                <c:ptCount val="7"/>
                <c:pt idx="0">
                  <c:v>218311</c:v>
                </c:pt>
                <c:pt idx="1">
                  <c:v>264896</c:v>
                </c:pt>
                <c:pt idx="2">
                  <c:v>189639</c:v>
                </c:pt>
                <c:pt idx="3">
                  <c:v>96275</c:v>
                </c:pt>
                <c:pt idx="4">
                  <c:v>59019</c:v>
                </c:pt>
                <c:pt idx="5">
                  <c:v>205049</c:v>
                </c:pt>
                <c:pt idx="6">
                  <c:v>66608</c:v>
                </c:pt>
              </c:numCache>
            </c:numRef>
          </c:val>
        </c:ser>
        <c:ser>
          <c:idx val="2"/>
          <c:order val="2"/>
          <c:tx>
            <c:v>2018年</c:v>
          </c:tx>
          <c:cat>
            <c:strRef>
              <c:f>('2018年全州支出-2（）'!$A$7,'2018年全州支出-2（）'!$A$8,'2018年全州支出-2（）'!$A$11,'2018年全州支出-2（）'!$A$12,'2018年全州支出-2（）'!$A$14,'2018年全州支出-2（）'!$A$15,'2018年全州支出-2（）'!$A$22)</c:f>
              <c:strCache>
                <c:ptCount val="7"/>
                <c:pt idx="0">
                  <c:v>公共安全</c:v>
                </c:pt>
                <c:pt idx="1">
                  <c:v>教育</c:v>
                </c:pt>
                <c:pt idx="2">
                  <c:v>社会保障和就业</c:v>
                </c:pt>
                <c:pt idx="3">
                  <c:v>医疗卫生与计划生育</c:v>
                </c:pt>
                <c:pt idx="4">
                  <c:v>城乡社区事务</c:v>
                </c:pt>
                <c:pt idx="5">
                  <c:v>农林水</c:v>
                </c:pt>
                <c:pt idx="6">
                  <c:v>住房保障支出</c:v>
                </c:pt>
              </c:strCache>
            </c:strRef>
          </c:cat>
          <c:val>
            <c:numRef>
              <c:f>('2018年全州支出-2（）'!$E$7,'2018年全州支出-2（）'!$E$8,'2018年全州支出-2（）'!$E$11,'2018年全州支出-2（）'!$E$12,'2018年全州支出-2（）'!$E$14,'2018年全州支出-2（）'!$E$15,'2018年全州支出-2（）'!$E$22)</c:f>
              <c:numCache>
                <c:formatCode>#,##0</c:formatCode>
                <c:ptCount val="7"/>
                <c:pt idx="0">
                  <c:v>235452</c:v>
                </c:pt>
                <c:pt idx="1">
                  <c:v>297256</c:v>
                </c:pt>
                <c:pt idx="2">
                  <c:v>165087</c:v>
                </c:pt>
                <c:pt idx="3">
                  <c:v>98354</c:v>
                </c:pt>
                <c:pt idx="4">
                  <c:v>62042</c:v>
                </c:pt>
                <c:pt idx="5">
                  <c:v>461902</c:v>
                </c:pt>
                <c:pt idx="6">
                  <c:v>67672</c:v>
                </c:pt>
              </c:numCache>
            </c:numRef>
          </c:val>
        </c:ser>
        <c:shape val="box"/>
        <c:axId val="208657792"/>
        <c:axId val="208663680"/>
        <c:axId val="0"/>
      </c:bar3DChart>
      <c:catAx>
        <c:axId val="2086577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08663680"/>
        <c:crosses val="autoZero"/>
        <c:auto val="1"/>
        <c:lblAlgn val="ctr"/>
        <c:lblOffset val="100"/>
      </c:catAx>
      <c:valAx>
        <c:axId val="208663680"/>
        <c:scaling>
          <c:orientation val="minMax"/>
        </c:scaling>
        <c:axPos val="l"/>
        <c:majorGridlines/>
        <c:numFmt formatCode="#,##0" sourceLinked="1"/>
        <c:tickLblPos val="nextTo"/>
        <c:crossAx val="208657792"/>
        <c:crosses val="autoZero"/>
        <c:crossBetween val="between"/>
      </c:valAx>
    </c:plotArea>
    <c:legend>
      <c:legendPos val="r"/>
      <c:txPr>
        <a:bodyPr/>
        <a:lstStyle/>
        <a:p>
          <a:pPr>
            <a:defRPr sz="1100"/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212</Words>
  <Characters>1210</Characters>
  <Application>Microsoft Office Word</Application>
  <DocSecurity>0</DocSecurity>
  <Lines>10</Lines>
  <Paragraphs>2</Paragraphs>
  <ScaleCrop>false</ScaleCrop>
  <Company>Ghost Win7 SP1 装机版 V2015.春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许新艳</dc:creator>
  <cp:lastModifiedBy>李兴禄</cp:lastModifiedBy>
  <cp:revision>98</cp:revision>
  <cp:lastPrinted>2018-12-31T03:20:00Z</cp:lastPrinted>
  <dcterms:created xsi:type="dcterms:W3CDTF">2018-12-22T03:18:00Z</dcterms:created>
  <dcterms:modified xsi:type="dcterms:W3CDTF">2019-01-02T04:12:00Z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