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C6CA7">
      <w:pPr>
        <w:pStyle w:val="8"/>
        <w:ind w:left="0" w:leftChars="0" w:firstLine="0" w:firstLineChars="0"/>
        <w:rPr>
          <w:rFonts w:hint="eastAsia" w:ascii="Times New Roman" w:hAnsi="Times New Roman" w:eastAsia="黑体" w:cs="Times New Roman"/>
          <w:color w:val="000000"/>
          <w:spacing w:val="12"/>
          <w:sz w:val="32"/>
          <w:szCs w:val="32"/>
          <w:lang w:val="en-US" w:eastAsia="zh-CN"/>
        </w:rPr>
      </w:pPr>
      <w:bookmarkStart w:id="2" w:name="_GoBack"/>
      <w:bookmarkEnd w:id="2"/>
      <w:bookmarkStart w:id="0" w:name="OLE_LINK1"/>
    </w:p>
    <w:p w14:paraId="5F4FBEB6">
      <w:pPr>
        <w:pStyle w:val="8"/>
        <w:ind w:left="0" w:leftChars="0" w:firstLine="0" w:firstLineChars="0"/>
        <w:rPr>
          <w:rFonts w:hint="default" w:ascii="Times New Roman" w:hAnsi="Times New Roman"/>
          <w:lang w:val="en-US"/>
        </w:rPr>
      </w:pPr>
    </w:p>
    <w:p w14:paraId="2EA977FD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仿宋_GB2312" w:cs="Times New Roman"/>
          <w:spacing w:val="12"/>
          <w:sz w:val="32"/>
          <w:szCs w:val="32"/>
          <w:lang w:val="en-US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pict>
          <v:shape id="_x0000_s1026" o:spid="_x0000_s1026" o:spt="136" type="#_x0000_t136" style="position:absolute;left:0pt;margin-left:-0.1pt;margin-top:14.85pt;height:42.3pt;width:443.35pt;z-index:251660288;mso-width-relative:page;mso-height-relative:page;" fillcolor="#E41908" filled="t" stroked="t" coordsize="21600,21600" adj="10800">
            <v:path/>
            <v:fill on="t" color2="fill darken(117)" focussize="0,0"/>
            <v:stroke color="#FF0000"/>
            <v:imagedata o:title=""/>
            <o:lock v:ext="edit" aspectratio="f"/>
            <v:textpath on="t" fitshape="t" fitpath="t" trim="t" xscale="f" string="克 孜 勒 苏 柯 尔 克 孜 自 治 州 人 民 政 府" style="font-family:方正小标宋简体;font-size:36pt;v-text-align:center;"/>
          </v:shape>
        </w:pict>
      </w:r>
    </w:p>
    <w:p w14:paraId="11D25119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spacing w:val="12"/>
          <w:lang w:val="en-US"/>
        </w:rPr>
      </w:pPr>
    </w:p>
    <w:p w14:paraId="145E525C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 w:line="660" w:lineRule="exact"/>
        <w:ind w:left="0" w:right="0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w:pict>
          <v:shape id="_x0000_s1027" o:spid="_x0000_s1027" o:spt="136" type="#_x0000_t136" style="position:absolute;left:0pt;margin-left:59.25pt;margin-top:28.15pt;height:53.6pt;width:326.25pt;z-index:251661312;mso-width-relative:page;mso-height-relative:page;" fillcolor="#FF0000" filled="t" stroked="t" coordsize="21600,21600" adj="10800">
            <v:path/>
            <v:fill on="t" color2="fill darken(117)" focussize="0,0"/>
            <v:stroke color="#FF0000"/>
            <v:imagedata o:title=""/>
            <o:lock v:ext="edit" aspectratio="f"/>
            <v:textpath on="t" fitshape="t" fitpath="t" trim="t" xscale="f" string="办    公    室    文    件" style="font-family:方正小标宋简体;font-size:36pt;v-text-align:center;"/>
          </v:shape>
        </w:pict>
      </w:r>
    </w:p>
    <w:p w14:paraId="1FC678D2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 w:line="660" w:lineRule="exact"/>
        <w:ind w:left="0" w:right="0" w:firstLine="0" w:firstLineChars="0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2844270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/>
        <w:textAlignment w:val="auto"/>
        <w:rPr>
          <w:rFonts w:hint="default" w:ascii="Times New Roman" w:hAnsi="Times New Roman" w:eastAsia="宋体" w:cs="Times New Roman"/>
          <w:szCs w:val="32"/>
          <w:lang w:val="en-US"/>
        </w:rPr>
      </w:pPr>
    </w:p>
    <w:p w14:paraId="717DDD66">
      <w:pPr>
        <w:pStyle w:val="16"/>
        <w:keepNext w:val="0"/>
        <w:keepLines w:val="0"/>
        <w:pageBreakBefore w:val="0"/>
        <w:widowControl w:val="0"/>
        <w:tabs>
          <w:tab w:val="left" w:pos="180"/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Times New Roman" w:hAnsi="Times New Roman"/>
          <w:lang w:val="en-US"/>
        </w:rPr>
      </w:pPr>
    </w:p>
    <w:p w14:paraId="4432F249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 w:line="660" w:lineRule="exact"/>
        <w:ind w:left="0" w:right="0" w:firstLine="0" w:firstLineChars="0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</w:p>
    <w:p w14:paraId="210A4EDC">
      <w:pPr>
        <w:keepNext w:val="0"/>
        <w:keepLines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4500"/>
        </w:tabs>
        <w:suppressAutoHyphens/>
        <w:bidi w:val="0"/>
        <w:spacing w:before="0" w:beforeAutospacing="0" w:after="0" w:afterAutospacing="0" w:line="660" w:lineRule="exact"/>
        <w:ind w:left="0" w:right="0" w:firstLine="0" w:firstLineChars="0"/>
        <w:jc w:val="center"/>
        <w:rPr>
          <w:rFonts w:hint="default" w:ascii="Times New Roman" w:hAnsi="Times New Roman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克政办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"/>
        </w:rPr>
        <w:t>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〔202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〕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号</w:t>
      </w:r>
    </w:p>
    <w:p w14:paraId="133F81D4">
      <w:pPr>
        <w:pStyle w:val="16"/>
        <w:keepNext w:val="0"/>
        <w:keepLines w:val="0"/>
        <w:pageBreakBefore w:val="0"/>
        <w:widowControl w:val="0"/>
        <w:suppressLineNumbers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tabs>
          <w:tab w:val="left" w:pos="180"/>
          <w:tab w:val="left" w:pos="540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firstLine="0" w:firstLineChars="0"/>
        <w:textAlignment w:val="auto"/>
        <w:rPr>
          <w:rFonts w:hint="eastAsia" w:ascii="Times New Roman" w:hAnsi="Times New Roman" w:eastAsia="方正小标宋简体" w:cs="方正小标宋简体"/>
          <w:color w:val="auto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19685</wp:posOffset>
                </wp:positionV>
                <wp:extent cx="5763895" cy="635"/>
                <wp:effectExtent l="0" t="10795" r="8255" b="1714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4990" cy="635"/>
                        </a:xfrm>
                        <a:prstGeom prst="line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85pt;margin-top:1.55pt;height:0.05pt;width:453.85pt;z-index:251659264;mso-width-relative:page;mso-height-relative:page;" filled="f" stroked="t" coordsize="21600,21600" o:gfxdata="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a/NIENcAAAAHAQAADwAAAAAAAAABACAAAAAiAAAAZHJzL2Rvd25y&#10;ZXYueG1sUEsBAhQAFAAAAAgAh07iQMFb6uT/AQAA9QMAAA4AAAAAAAAAAQAgAAAAJgEAAGRycy9l&#10;Mm9Eb2MueG1sUEsFBgAAAAAGAAYAWQEAAJcFAAAAAA==&#10;">
                <v:fill on="f" focussize="0,0"/>
                <v:stroke weight="1.7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014726B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leftChars="0" w:right="0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关于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eastAsia="zh-CN"/>
        </w:rPr>
        <w:t>印发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《克孜勒苏柯尔克孜自治州矿产资源</w:t>
      </w:r>
    </w:p>
    <w:p w14:paraId="7DBA7A6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leftChars="0" w:right="0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违法所得与勘查、开采等涉案设备没收管理</w:t>
      </w:r>
    </w:p>
    <w:p w14:paraId="78D7546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leftChars="0" w:right="0"/>
        <w:jc w:val="center"/>
        <w:textAlignment w:val="auto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实施办法》的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eastAsia="zh-CN"/>
        </w:rPr>
        <w:t>通知</w:t>
      </w:r>
    </w:p>
    <w:p w14:paraId="59E7D2D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458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</w:p>
    <w:p w14:paraId="6FE0FC3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78" w:lineRule="exact"/>
        <w:ind w:left="0" w:leftChars="0"/>
        <w:jc w:val="both"/>
        <w:rPr>
          <w:rFonts w:hint="eastAsia" w:ascii="Times New Roman" w:hAnsi="Times New Roman" w:eastAsia="方正仿宋_GBK" w:cs="方正仿宋_GBK"/>
          <w:color w:val="auto"/>
          <w:spacing w:val="-2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pacing w:val="0"/>
          <w:sz w:val="32"/>
          <w:szCs w:val="32"/>
        </w:rPr>
        <w:t>各县（市）人民政府，自治州人民政府各工作部门、州直各单位</w:t>
      </w:r>
      <w:r>
        <w:rPr>
          <w:rFonts w:hint="eastAsia" w:ascii="Times New Roman" w:hAnsi="Times New Roman" w:eastAsia="方正仿宋_GBK" w:cs="方正仿宋_GBK"/>
          <w:spacing w:val="-20"/>
          <w:sz w:val="32"/>
          <w:szCs w:val="32"/>
        </w:rPr>
        <w:t>：</w:t>
      </w:r>
    </w:p>
    <w:p w14:paraId="4C875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27"/>
        <w:jc w:val="both"/>
        <w:textAlignment w:val="baseline"/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《克孜勒苏柯尔克孜自治州矿产资源违法所得与勘查、开采等涉案设备没收管理实施办法》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已经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自治州第十五届人民政府第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59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次常务会议审议通过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，现印发你们</w:t>
      </w:r>
      <w:r>
        <w:rPr>
          <w:rFonts w:hint="default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请抓好贯彻落实。</w:t>
      </w:r>
    </w:p>
    <w:p w14:paraId="4ACF42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00" w:lineRule="exact"/>
        <w:textAlignment w:val="auto"/>
        <w:rPr>
          <w:rFonts w:hint="default"/>
          <w:lang w:val="en-US" w:eastAsia="zh-CN"/>
        </w:rPr>
      </w:pPr>
    </w:p>
    <w:p w14:paraId="68FC3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52" w:firstLineChars="400"/>
        <w:jc w:val="center"/>
        <w:textAlignment w:val="baseline"/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克孜勒苏柯尔克孜自治州</w:t>
      </w: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人民政府办公室</w:t>
      </w:r>
    </w:p>
    <w:p w14:paraId="025F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1252" w:firstLineChars="400"/>
        <w:jc w:val="center"/>
        <w:textAlignment w:val="baseline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w w:val="98"/>
          <w:sz w:val="32"/>
          <w:szCs w:val="32"/>
          <w:lang w:val="en-US" w:eastAsia="zh-CN"/>
        </w:rPr>
        <w:t>日</w:t>
      </w:r>
    </w:p>
    <w:p w14:paraId="3B38A84D">
      <w:pPr>
        <w:pStyle w:val="6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beforeAutospacing="0" w:after="0" w:afterAutospacing="0" w:line="578" w:lineRule="exact"/>
        <w:ind w:left="0" w:leftChars="0" w:firstLine="626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w w:val="98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w w:val="98"/>
          <w:kern w:val="2"/>
          <w:sz w:val="32"/>
          <w:szCs w:val="32"/>
          <w:lang w:val="en-US" w:eastAsia="zh-CN" w:bidi="ar-SA"/>
        </w:rPr>
        <w:t>（此件公开发布）</w:t>
      </w:r>
    </w:p>
    <w:bookmarkEnd w:id="0"/>
    <w:p w14:paraId="7A79CF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1" w:name="OLE_LINK2"/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克孜勒苏柯尔克孜自治州矿产资源违法所得与勘查、开采等涉案设备没收管理</w:t>
      </w:r>
    </w:p>
    <w:p w14:paraId="3C4511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实施办法</w:t>
      </w:r>
    </w:p>
    <w:p w14:paraId="6767E4FE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3" w:firstLineChars="200"/>
        <w:jc w:val="both"/>
        <w:textAlignment w:val="auto"/>
        <w:rPr>
          <w:rFonts w:hint="default" w:ascii="Times New Roman" w:hAnsi="Times New Roman" w:eastAsia="方正楷体_GBK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</w:p>
    <w:p w14:paraId="5DB00DEF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第一条 制定目的及法律依据</w:t>
      </w:r>
    </w:p>
    <w:p w14:paraId="47A92C72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为严格落实《中华人民共和国矿产资源法》《中华人民共和国行政处罚法》《中华人民共和国行政强制法》《中华人民共和国矿产资源法实施条例》（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年国务院令第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839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号）《新疆维吾尔自治区罚没财物管理办法实施细则》（新财资管〔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65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号）《自然资源违法行为立案查处工作规程（试行）》等法规规章，规范全州范围内矿产资源违法案件违法所得、违法矿产品、直接用于违法勘查开采工具设备的查封扣押、作出没收处罚、保管、移交、处置、上缴国库全流程执法行为，规范执法自由裁量权，防范执法风险、防止国有资产流失，结合克州矿产资源违法勘查、开采工作实际，制定本办法。</w:t>
      </w:r>
    </w:p>
    <w:p w14:paraId="036D482E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第二条 适用范围</w:t>
      </w:r>
    </w:p>
    <w:p w14:paraId="70C3F59D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本办法适用于克州各县（市）自然资源部门查办无证勘查、无证采矿、以采代探、越界开采、破坏性采矿、为非法采矿提供作业设备等各类矿产资源违法行为，依法开展违法所得追缴、涉案矿产品、勘查开采机械设备（挖掘机、装载机、运输车、钻机、破碎设备、发电设备等工具设施）查封扣押、没收、保管、处置、台账归档、行刑衔接等工作。</w:t>
      </w:r>
    </w:p>
    <w:p w14:paraId="5629434E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第三条 执法工作原则</w:t>
      </w:r>
    </w:p>
    <w:p w14:paraId="5E5F6B1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1.法定适用原则：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依据《中华人民共和国矿产资源法》（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年修订）第五十七条、第六十三条、第六十四条、第六十六条、第六十八条及《中华人民共和国行政强制法》第十八条、第二十四条规定：自然资源执法查处矿产资源勘查、开采违法行为，可现场下达停工文书制止违法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行为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，经立案、调查取证、权利告知等法定程序后，方可依法作出没收违法作业大型机具的行政处罚。其中，探矿权勘查许可证过期、被注销，或者超出勘查许可证载明勘查区块开展勘查作业，适用第六十三条，可依法没收违法所得及直接用于违法勘查的工具、设备；探矿权人未取得勘查许可证开展勘查作业，适用第六十六条，须先责令改正，拒不改正的，方可没收违法所得及直接用于违法勘查的工具、设备；无证开采、越界开采及探矿权人以采代探行为，按无证开采适用第六十四条，可依法没收涉案开采工具、设备及违法矿产品。持证主体存在未按批准方案作业、不合理开采等破坏性采矿行为的，依据第六十八条仅可作出责令改正、罚款、责令停业整顿、吊销许可证处罚，该法条无器械没收罚则，严禁没收作业器械。执法中严格区分行政强制措施与行政处罚，第五十七条规定的查封、扣押行为，须严格遵照《行政强制法》履行审批、权利告知、制作现场笔录、出具物品清单等法定程序，严禁未履行前置程序直接扣押、没收作业机具，杜绝程序倒置、违规处置。</w:t>
      </w:r>
    </w:p>
    <w:p w14:paraId="35D44AA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2.程序闭环原则：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严格遵照《行政处罚法》《行政强制法》及自然资源执法办案规程落实执法闭环管理，规范立案核查、取证固证、强制措施审批告知、文书送达、陈述申辩与听证告知、处罚决定、涉案财物管护处置、罚没款上缴、案卷归档等全流程，做到各环节全程留痕、有据可查，严防程序疏漏、材料缺失。</w:t>
      </w:r>
    </w:p>
    <w:p w14:paraId="0335F166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3.属地分类管控原则：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中华人民共和国矿产资源法》属地监管要求，结合全州执法实际，对偏远山区矿区、边境砂金点位、砂石堆场、选矿场分片分区管控；按照标的物类别分类管控，为可移动采矿设备、堆存矿产品、各类违法所得建立台账，差异化开展封存管护、价值核验与追缴处置，严防涉案财物流失。</w:t>
      </w:r>
    </w:p>
    <w:p w14:paraId="03D768BA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4.</w:t>
      </w: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罚没收入国库专属原则：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依据《中华人民共和国行政处罚法》第六十七条、第七十四条、《罚没财物管理办法》（财税〔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〕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54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号）第四条、第二十八条规定，没收的违法所得必须全额上缴国库，不得作任何费用扣减。严格执行罚缴分离原则，严禁执法人员截留、挪用、私分罚没钱款；严禁违规徇私处置、私下受让罚没涉案财物。</w:t>
      </w:r>
    </w:p>
    <w:p w14:paraId="479BE107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5.行刑衔接原</w:t>
      </w: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则</w:t>
      </w: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严格依据《中华人民共和国行政强制法》《行政执法机关移送涉嫌犯罪案件的规定》及《自治区自然资源领域行政执法与刑事司法衔接工作办法》（新自然资发〔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〕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73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号）落实行刑衔接工作，严禁以罚代刑。矿产违法行为达到非法采矿、破坏性采矿刑事立案追诉标准的，应当及时向公安机关移送案件及全部证据材料并附送涉案物品清单；自接到公安机关立案通知书之日起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日内移交查封扣押涉案财物并办结交接手续；对保管条件特殊、大型工程机械等难以转运的财物，公安机关在固定证据后，可以商请自然资源主管部门代为保管，移交财物清单、证据材料，做好书面交接。</w:t>
      </w:r>
    </w:p>
    <w:p w14:paraId="0910C7F6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第四条 州（县）自然资源局责任分工</w:t>
      </w:r>
    </w:p>
    <w:p w14:paraId="5D2591F0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各县（市）自然资源部门负责辖区矿产违法线索排查、现场勘验测算、违法所得认定、涉案财物封存、当事人告知催告等一线执法；承担处罚合法性、没收类重大处罚法制审核，做好行政复议应诉，对接相关部门落实罚没收入缴库、票据管理与涉案财物移交台账登记。</w:t>
      </w:r>
    </w:p>
    <w:p w14:paraId="77827266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州自然资源部门做好督导、案件审查与统筹协调，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全覆盖检查各县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（市）重大及没收类行政处罚案件；督导基层落实执法台账、涉案财物处置、罚没收入管控；组织协调跨区域案件，完善行刑衔接机制，化解执法难点。</w:t>
      </w:r>
    </w:p>
    <w:p w14:paraId="5D125C7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第五条 可以作出没收处罚的法定违法情形</w:t>
      </w:r>
    </w:p>
    <w:p w14:paraId="04DC1D3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严格对照新修订《矿产资源法》法律责任章节精准适用没收措施。具体如下：</w:t>
      </w:r>
    </w:p>
    <w:p w14:paraId="63CE72F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1.未取得探矿权擅自勘查矿产资源。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依据《矿产资源法》第六十三条第一款，责令停止违法行为，没收违法所得及违法勘查工具设备，并处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10-100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万元罚款。</w:t>
      </w:r>
    </w:p>
    <w:p w14:paraId="07B7831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2.未取得采矿权擅自采矿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依据《矿产资源法》第六十四条第一款：责令停止违法行为，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没收直接用于违法的工具、设备与违法矿产品；按矿产品市场价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3-5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倍罚款；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没有采出矿产品或者违法采出的矿产品市场价值不足十万元的，处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万元以上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万元以下罚款。</w:t>
      </w:r>
    </w:p>
    <w:p w14:paraId="7778443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3.越界开采的情形。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持采矿许可证越界采掘，依据《中华人民共和国矿产资源法》第六十四条第二款，比照无证开采处理，责令停止违法、没收矿产品及直接用于违法的开采设备并处罚款；拒不停止违法行为情节严重的，报请原矿业权出让部门吊销采矿许可证，办案可依据该法第五十七条查封、扣押机具。</w:t>
      </w:r>
    </w:p>
    <w:p w14:paraId="6648C760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4.以采代探的情形。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虽持有涉案区块探矿权证，但探矿权仅限开展地质勘查，不含采矿权限；当事人假借勘查名义采掘矿石，实施以采代探，属于未取得采矿权擅自开采矿产资源。依据《中华人民共和国矿产资源法》第六十四条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自然资源部门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可没收挖掘机、装载机、运输车辆等直接用于违法开采的工具设备；办案期间可依照该法第五十七条先行查封、扣押涉案机具，遏制持续违法开采。</w:t>
      </w:r>
    </w:p>
    <w:p w14:paraId="5E22784A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5.构成违法共犯情形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第三方明知他人实施非法勘查、开采矿产资源行为，仍提供挖掘机、装载机、供电设施等机具设备予以协助的，属于共同实施矿产资源违法行为，依法一并查处；涉案机具属于直接用于违法勘查开采的设备，符合没收条件的，依法予以没收。认定第三方主观明知应当收集固定相关证据，结合租赁合同、手续核验记录、资金往来凭证、通讯沟通记录、现场踏勘情况、是否核验采矿相关手续等客观证据综合判定，不得仅以设备出现在违法现场直接推定第三方主观明知。涉案设备存在产权权属争议的，应当按照本办法第六条开展权属异议复核；以最终的复核结果依法予以处置。</w:t>
      </w:r>
    </w:p>
    <w:p w14:paraId="5F8BDD0F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第六条 标的物界定</w:t>
      </w:r>
    </w:p>
    <w:p w14:paraId="08D2B79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1.违法所得：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违法所得包括矿石砂石销售收入、矿产品加工产生的收益、矿区转包收益、场地设备出租租金及违法劳务等收益；非法勘查、非法采矿案认定违法所得，不扣除勘查、开采、运输、加工成本；合法和非法收益难以划分的全部认定为违法所得，当事人能够提交有效证据实属于合法收益的除外；已转账、取现、转移财物的违法收益须溯源追查、足额追缴。</w:t>
      </w:r>
    </w:p>
    <w:p w14:paraId="1F2C2AF3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2.直接用于违法勘查开采工具、设备：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直接用于违法勘查、开采的工具设备，指用于现场掘进采掘、矿区内转运矿石、选矿加工的挖掘机、装载机、破碎机、空压机、矿区专用运矿车、水泵、发电机组、选矿器械以及采掘作业钻机等。</w:t>
      </w:r>
    </w:p>
    <w:p w14:paraId="7D31F863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针对租赁、租借取得且直接投入违法作业的机械设备，可依法采取查封、扣押强制措施，案件调查终结后符合法定处罚条件的予以没收。设备产权人、利害关系人提出权属异议的，应当如实记录异议内容、收集权属证据并开展复核核查，对权属复核结果不服，可以依法申请行政复议、提起行政诉讼；异议核查期间原则上不停止查封、扣押状态，但查封、扣押法定期限届满的，应当依法及时解除查封、扣押，不得以权属异议核查为由继续实施扣押强制措施。经核查确认设备产权人不知情且已尽审慎审查义务的，认定为合法善意第三人，不得作出没收行政处罚，依法解除强制措施并返还涉案设备，核查材料全部归入案件卷宗；案件涉嫌刑事犯罪的，涉案机械设备按照行刑衔接相关规定随案移送司法机关处置。</w:t>
      </w:r>
    </w:p>
    <w:p w14:paraId="058FBB5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3.违法矿产品：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原矿石、砂石、砂金、矿粉、尾矿、加工之后的矿石成品。</w:t>
      </w:r>
    </w:p>
    <w:p w14:paraId="67CBB0C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第七条 不予没收排除清单</w:t>
      </w:r>
    </w:p>
    <w:p w14:paraId="474D301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仅用于人员通勤、日常生活，没有投入采掘作业的私家车、生活物资。</w:t>
      </w:r>
    </w:p>
    <w:p w14:paraId="6C33ED91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出租人已尽审慎核查义务，事前不知情、无主观过错，能够提供租赁合同、租金凭证且配合调查的，经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县（市）自然资源部门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案件会审认定后涉案机具不予没收；办案时可先行查封扣押核查，核实无过错即可返还设备。</w:t>
      </w:r>
    </w:p>
    <w:p w14:paraId="55DE5CF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与本次矿产违法行为不存在关联性的私人财物。</w:t>
      </w:r>
    </w:p>
    <w:p w14:paraId="2878D550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第八条 现场强制扣押流程</w:t>
      </w:r>
    </w:p>
    <w:p w14:paraId="01DEE93D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执法人员不少于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人，持行政执法证件抵达违法点位，开展现场拍照录像、三维测绘、矿量测算、制作现场勘验笔录、询问当事人、见证人笔录等证据链。</w:t>
      </w:r>
    </w:p>
    <w:p w14:paraId="6D47420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需要查封扣押工具设备、矿产品时，当场送达《查封扣押决定书》、证据保存清单，列明设备品牌型号、机身编号、数量、矿产品堆放地点、预估重量。</w:t>
      </w:r>
    </w:p>
    <w:p w14:paraId="2302A129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告知当事人享有的陈述申辩、申请听证、行政复议、行政诉讼权利。</w:t>
      </w:r>
    </w:p>
    <w:p w14:paraId="4443E450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对偏远牧区、边境点位扣押的大型工程机械，实行就地封存管理，由办案机关做好登记；属地乡（镇）、边防派出所协助开展日常巡查，发现风险及时通报办案机关。具备转运条件的机械设备统一运送至同级指定暂扣停放场地，经行政处罚决定予以没收的，按罚没财物管理规定移交指定的政府公物仓。</w:t>
      </w:r>
    </w:p>
    <w:p w14:paraId="7E315618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第九条 扣押期限管控</w:t>
      </w:r>
    </w:p>
    <w:p w14:paraId="239E799A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强化查封扣押期限管控：查封、扣押的期限不得超过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日；案情重大、复杂的，经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县（市）自然资源部门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负责人批准可延长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，妥善归档保存延期审批全套文书。对涉案矿产品、机具设备开展技术勘验、价格认定、鉴定的，鉴定期间不计入查封扣押期限，鉴定起止时间应当书面告知当事人，相关材料一并入卷归档。须于扣押时限内办结调查取证工作，按期作出是否没收的处罚决定，杜绝超期扣押涉案设备；作出延期决定后应当书面告知当事人并写明延期事由。对权属暂无法核实的涉案设备，公告期限不少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60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日。公告应当在政府官网、案发地乡（镇）公示栏、行政村公告栏多渠道进行公示。</w:t>
      </w:r>
    </w:p>
    <w:p w14:paraId="3C9A2909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第十条 财物权属告知与公告认领</w:t>
      </w:r>
    </w:p>
    <w:p w14:paraId="5906F0B9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实施扣押措施后，原则上应当于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7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个工作日内通知设备所有权人、承租人及其他利害关系人接受调查询问，但法律法规另有规定的，从其规定。</w:t>
      </w:r>
    </w:p>
    <w:p w14:paraId="4515FFE5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对权属暂无法核实的涉案设备，在案发地乡（镇）公示栏及官方平台发布权属认领公告，公示期限不少于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60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日。公告期满无人认领、且相关人员无法提供合法权属证明的，依法启动没收处置程序。</w:t>
      </w:r>
    </w:p>
    <w:p w14:paraId="4727DB8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第十一条 多方式核算违法收益</w:t>
      </w:r>
    </w:p>
    <w:p w14:paraId="74DCD1C0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现场过磅、三维立体测绘核算矿石方量，参照同期当地同类矿产品市场交易单价核算矿产品市场价值。</w:t>
      </w:r>
    </w:p>
    <w:p w14:paraId="3D41285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调取微信转账、银行流水、收购方交易记录、供货单据。</w:t>
      </w:r>
    </w:p>
    <w:p w14:paraId="2B50E19C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当事人拒不提供营收凭证，采用同类矿区市场均价、行业平均收益标准进行估价，必要时委托第三方资产评估机构出具价格认定意见书。</w:t>
      </w:r>
    </w:p>
    <w:p w14:paraId="102D0F9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第十二条 违法所得追缴</w:t>
      </w:r>
    </w:p>
    <w:p w14:paraId="2493282E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已经变现的违法所得，在行政处罚决定书载明追缴金额，责令当事人限期上缴。</w:t>
      </w:r>
    </w:p>
    <w:p w14:paraId="6C028252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当事人转移资金、逃避缴纳，到期拒不履行处罚决定，依法催告之后申请人民法院强制执行；涉嫌财产转移犯罪线索移交公安部门。</w:t>
      </w:r>
    </w:p>
    <w:p w14:paraId="6B61BEFB">
      <w:pPr>
        <w:pStyle w:val="6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第十三条 分级审批机制</w:t>
      </w:r>
    </w:p>
    <w:p w14:paraId="272FFCCE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1.普通案件：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各县（市）自然资源部门执法办案人员要拟定案件调查报告、处罚建议，</w:t>
      </w:r>
      <w:r>
        <w:rPr>
          <w:rFonts w:hint="eastAsia" w:ascii="方正仿宋_GBK" w:hAnsi="方正仿宋_GBK" w:eastAsia="方正仿宋_GBK" w:cs="方正仿宋_GBK"/>
          <w:b w:val="0"/>
          <w:bCs w:val="0"/>
          <w:strike w:val="0"/>
          <w:dstrike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联合组织法制审核之后，分管领导做好审核，主要领导做好审批。</w:t>
      </w:r>
    </w:p>
    <w:p w14:paraId="3344E3F5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重大没收案件：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一次性案件中，没收机械设备价值、矿产品价值以及矿产资源破坏价值合计达到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万元以上的，认定为重大案件。涉案财物价值优先参照违法行为发生时当地同期市场价格核定；价值争议较大的，委托价格认定机构出具专业价格认定意见，涉及矿产资源破坏量专门问题的按规定开展技术认定。前述标准仅用于本州自然资源系统案件分级审核管理，不构成法律、行政法规意义上的重大行政处罚法定认定标准。</w:t>
      </w:r>
    </w:p>
    <w:p w14:paraId="54ABC6AC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第十四条 处罚文书规范</w:t>
      </w:r>
    </w:p>
    <w:p w14:paraId="288FF76D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《行政处罚决定书》必须逐项载明：违法事实、法律依据（写明新修订《矿产资源法》对应法条、《矿产资源法实施条例》相关规定）、没收标的清单、违法所得收缴数额、罚款金额、履行期限、财物移交地点、救济途径。</w:t>
      </w:r>
    </w:p>
    <w:p w14:paraId="708CA058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第十五条 听证程序</w:t>
      </w:r>
    </w:p>
    <w:p w14:paraId="3A6F00D0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拟作出较大数额罚款，或者没收较大数额违法所得、没收较大价值非法财物，对当事人财产权益造成重大影响的处罚决定之前，应当书面告知当事人有要求听证的权利；当事人要求听证的，严格依照行政处罚法定听证流程组织听证，听证笔录应归入案卷，作为行政处罚审批及作出处罚决定的基础依据。</w:t>
      </w:r>
    </w:p>
    <w:p w14:paraId="558ED33D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第十六条 财物存放管理</w:t>
      </w:r>
    </w:p>
    <w:p w14:paraId="37731E5A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大型工程机械设立专属停放场地，做好防火、防盗、防止机械设备损坏等工作。</w:t>
      </w:r>
    </w:p>
    <w:p w14:paraId="6857F434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砂石、矿石类矿产品分区堆放，设立标识牌，做好防潮、防止被盗偷运。</w:t>
      </w:r>
    </w:p>
    <w:p w14:paraId="5508DBE0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建立一案一档的《没收涉案财物明细台账》，登记设备编号、扣押时间、处罚决定书文号、保管责任人、巡查记录、权属异议材料、公告记录，做到一物一号、全程溯源。</w:t>
      </w:r>
    </w:p>
    <w:p w14:paraId="38B389CA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第十七条 保管责任</w:t>
      </w:r>
    </w:p>
    <w:p w14:paraId="3D357AF8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落实专人看管暂扣财物；偏远山区就地封存设备由乡（镇）自然资源所专员定期巡查；出现财物损毁、丢失，追究保管岗位人员责任；产生的拖车、仓储、看护费用按照《罚没财物管理办法》相关规定执行。</w:t>
      </w:r>
    </w:p>
    <w:p w14:paraId="0721DF98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第十八条 法定移交时限</w:t>
      </w:r>
    </w:p>
    <w:p w14:paraId="37DF1953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没收行政处罚决定书生效后，应当在同级财政部门规定的期限内，将被没收的工具设备、矿产品及必要证明文书材料移送同级财政指定的政府公物仓，办理交接签收手续；未设置政府公物仓的，按照财政规定由执法机关临时保管并报财政备案。对偏远矿区，存在易腐烂、易灭失、保管成本过高或者不宜长期存放的涉案矿产品等财物，符合法定先行处置条件的，可按规定实施先行处置，处置所得款项足额上缴国库。</w:t>
      </w:r>
    </w:p>
    <w:p w14:paraId="2E363026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第十九条 分类处置方式及部门工作职责</w:t>
      </w:r>
    </w:p>
    <w:p w14:paraId="1F034C02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各县（市）自然资源部门负责涉案财物核查清点、造册移交；同级机关事务管理部门牵头公物仓与资产监管；公共资源交易部门提供竞价拍卖平台，多部门闭环做好没收设备、矿产品保管、评估、先行处置及收入上缴工作，具体职责如下： </w:t>
      </w:r>
    </w:p>
    <w:p w14:paraId="0430E726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楷体_GBK" w:hAnsi="方正楷体_GBK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自然资源主管部门职责：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作出没收行政处罚之后，核对矿产品、挖掘机、装载机等大型机具设备清单，做好勘验登记、拍照取证、建立涉案财物台账；对符合法定情形的财物，按程序报批后组织先行处置；按期将罚没财物移交属地公物仓保管；提供行政处罚决定书、勘验材料、财物清单等全套档案，全程跟进财物移交、先行处置工作，不得自行开展财物变卖、议价处置。</w:t>
      </w:r>
    </w:p>
    <w:p w14:paraId="7C92136D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yellow"/>
          <w:u w:val="none"/>
          <w:lang w:val="en-US" w:eastAsia="zh-CN" w:bidi="ar-SA"/>
        </w:rPr>
      </w:pPr>
      <w:r>
        <w:rPr>
          <w:rFonts w:hint="eastAsia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default" w:ascii="方正楷体_GBK" w:hAnsi="方正楷体_GBK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机关事务部门（公物仓）职责：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负责接收、仓储保管全部没收矿产品、工程机械；会同自然资源主管部门甄别财物是否符合先行处置条件；对接第三方资产评估机构开展资产价值评估；区分物资属性拟定常规处置或先行处置方案；监督处置流程合规性，归集处置所得款项，督促罚没收入全额上缴国库，做好票据归档。 </w:t>
      </w:r>
    </w:p>
    <w:p w14:paraId="06921A7A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default" w:ascii="方正楷体_GBK" w:hAnsi="方正楷体_GBK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公共资源交易部门职责：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负责没收设备、矿产品等进场交易过程中服务保障工作，对先行处置事项按规定提供交易相关支撑。</w:t>
      </w:r>
    </w:p>
    <w:p w14:paraId="4515122E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第二十条 处置收入管理</w:t>
      </w:r>
    </w:p>
    <w:p w14:paraId="30B0984C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严格执行罚没财物 “收支两条线” 管理规定。所有罚没财物拍卖、变卖、先行处置收入全额上缴国库，统一纳入非税收入管理。涉案设备拖车、仓储、安保、评估等必要处置成本，按照《罚没财物管理办法》相关规定执行。</w:t>
      </w:r>
    </w:p>
    <w:p w14:paraId="1427457D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第二十一条 自觉履行</w:t>
      </w:r>
    </w:p>
    <w:p w14:paraId="4096B4F3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当事人收到没收类行政处罚文书之后按期交出作业设备、上缴全部违法所得；已经变卖矿产品的足额缴纳对应违法收益。</w:t>
      </w:r>
    </w:p>
    <w:p w14:paraId="06A8B0D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第二十二条 催告程序</w:t>
      </w:r>
    </w:p>
    <w:p w14:paraId="65B4C48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当事人在法定履行期限届满拒不履行没收决定的，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各县（市）自然资源部门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出具履行催告书，给予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个工作日履行缓冲期限。</w:t>
      </w:r>
    </w:p>
    <w:p w14:paraId="0197B20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第二十三条 非诉强制执行</w:t>
      </w:r>
    </w:p>
    <w:p w14:paraId="3196EF1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当事人在法定期限内不申请行政复议、不提起行政诉讼又不履行行政处罚决定的，应当依法催告当事人履行义务；催告书送达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日后当事人仍未履行义务的，自法定起诉期限届满之日起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个月内，依法向有管辖权的人民法院提交强制执行申请书，行政处罚决定书、催告情况材料、涉案财物清单及其他法定材料，申请人民法院强制执行；同步做好与检察机关的行政非诉讼执行监督对接工作。</w:t>
      </w:r>
    </w:p>
    <w:p w14:paraId="318D1BF8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第二十四条 刑事案件移送标准</w:t>
      </w:r>
    </w:p>
    <w:p w14:paraId="338F0731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经查实矿产违法行为达到非法采矿、破坏性采矿刑事立案追诉标准的，经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kern w:val="2"/>
          <w:sz w:val="32"/>
          <w:szCs w:val="32"/>
          <w:highlight w:val="none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各县（市）自然资源部门正职负责人或者主持工作的负责人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审批，决定批准的，应当在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24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小时内向同级公安机关移送并抄送同级人民检察院；决定不批准的，应当将不予批准的理由记录在案。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 xml:space="preserve"> </w:t>
      </w:r>
    </w:p>
    <w:p w14:paraId="27E3D7A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第二十五条 执法全过程监督</w:t>
      </w:r>
    </w:p>
    <w:p w14:paraId="1EB57DD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自治州自然资源部门定期下沉各县（市）开展案卷抽查，重点核查应当责令改正而未责令改正直接作出没收处罚、查封扣押超期、涉案设备台账不完整、罚没财物处置程序公开合规性、罚没款项是否足额上缴国库等问题；对案卷抽查发现的问题，督促属地单位限期整改，发现涉嫌违纪违法线索的，按规定移交处置。</w:t>
      </w:r>
    </w:p>
    <w:p w14:paraId="2D370E4D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第二十六条 执法人员禁止性行为与追责</w:t>
      </w:r>
    </w:p>
    <w:p w14:paraId="14B6D3F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执法人员严禁出现下列违规行为：</w:t>
      </w:r>
    </w:p>
    <w:p w14:paraId="47F3550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对依法应当先行责令改正的，未履行责令改正程序直接作出没收设备等行政处罚；</w:t>
      </w:r>
    </w:p>
    <w:p w14:paraId="19FED3E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2.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擅自扣押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与违法行为无关的私人财物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；</w:t>
      </w:r>
    </w:p>
    <w:p w14:paraId="16B009E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3.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私自使用、出借、拆解被扣押工程机械；</w:t>
      </w:r>
    </w:p>
    <w:p w14:paraId="5709212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4.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截留、私分、低价购买涉案矿产品、机械设备；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执法人员存在拖延涉案财物移交、逾期处置造成财物重大损耗等违纪违规问题的，依规给予相关人员处分；存在职务犯罪嫌疑，或者办案中排查发现公职人员充当违法保护伞、违规通风报信等问题线索的，应当及时移送纪检监察机关处置。</w:t>
      </w:r>
    </w:p>
    <w:p w14:paraId="39EAF35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第二十七条 案卷归档</w:t>
      </w:r>
    </w:p>
    <w:p w14:paraId="1986C29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涉及没收财物的矿产违法案件实行一案一卷、长期归档管理。案卷应当归集案件来源材料、立案审批文书、现场笔录、责令改正或停止违法行为通知书、行政处罚决定书及送达回证、重大执法决定法制审核材料、催告文书、财物移交回执、处置票据、非税收入上缴凭证、结案审批材料；案件涉及权属公告的，一并纳入案卷归档。</w:t>
      </w:r>
    </w:p>
    <w:p w14:paraId="54744A9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第二十八条 新法适配</w:t>
      </w:r>
    </w:p>
    <w:p w14:paraId="7CF63C6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本办法以新修订《中华人民共和国矿产资源法》及其实施条例为根本遵循，应当持续跟踪法律、行政法规、部门规章及上级自然资源主管部门政策更新；如发现规定与本办法不一致的，按照公文修订程序，及时对案件核查、强制措施适用、罚没物资移交、催告、强制执行等相关条款予以修订，保障执法程序合法合规。</w:t>
      </w:r>
    </w:p>
    <w:p w14:paraId="574B88F1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本办法由克孜勒苏柯尔克孜自治州自然资源局负责解释，自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2026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11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26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日起正式施行，有效期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年。</w:t>
      </w:r>
      <w:bookmarkEnd w:id="1"/>
    </w:p>
    <w:p w14:paraId="608BE18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outlineLvl w:val="9"/>
        <w:rPr>
          <w:rFonts w:hint="eastAsia" w:ascii="黑体" w:hAnsi="黑体" w:eastAsia="黑体" w:cs="Times New Roman"/>
          <w:b/>
          <w:bCs/>
          <w:color w:val="auto"/>
          <w:kern w:val="2"/>
          <w:sz w:val="44"/>
          <w:szCs w:val="44"/>
          <w:lang w:val="en-US" w:eastAsia="zh-CN" w:bidi="ar-SA"/>
        </w:rPr>
      </w:pPr>
    </w:p>
    <w:p w14:paraId="48BC75BE">
      <w:pPr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</w:pPr>
    </w:p>
    <w:p w14:paraId="3FD333D8">
      <w:pPr>
        <w:pStyle w:val="2"/>
      </w:pPr>
    </w:p>
    <w:p w14:paraId="48B18E93">
      <w:pPr>
        <w:pStyle w:val="3"/>
      </w:pPr>
    </w:p>
    <w:p w14:paraId="55D4B980">
      <w:pPr>
        <w:pStyle w:val="4"/>
      </w:pPr>
    </w:p>
    <w:p w14:paraId="7A4B3B15"/>
    <w:p w14:paraId="0723890A">
      <w:pPr>
        <w:pStyle w:val="2"/>
      </w:pPr>
    </w:p>
    <w:p w14:paraId="357E6F4C">
      <w:pPr>
        <w:pStyle w:val="3"/>
      </w:pPr>
    </w:p>
    <w:p w14:paraId="542AB29D">
      <w:pPr>
        <w:pStyle w:val="4"/>
      </w:pPr>
    </w:p>
    <w:p w14:paraId="62B608CB"/>
    <w:p w14:paraId="6AF80241">
      <w:pPr>
        <w:pStyle w:val="2"/>
      </w:pPr>
    </w:p>
    <w:p w14:paraId="77DD1812">
      <w:pPr>
        <w:pStyle w:val="3"/>
      </w:pPr>
    </w:p>
    <w:p w14:paraId="627FA3AF">
      <w:pPr>
        <w:pStyle w:val="4"/>
      </w:pPr>
    </w:p>
    <w:p w14:paraId="2EBBF355"/>
    <w:p w14:paraId="7DBFAF1B">
      <w:pPr>
        <w:pStyle w:val="2"/>
      </w:pPr>
    </w:p>
    <w:p w14:paraId="402418E3">
      <w:pPr>
        <w:pStyle w:val="3"/>
      </w:pPr>
    </w:p>
    <w:p w14:paraId="2FD9D74B">
      <w:pPr>
        <w:pStyle w:val="4"/>
      </w:pPr>
    </w:p>
    <w:p w14:paraId="3DDFD7A1"/>
    <w:p w14:paraId="5046C2D4">
      <w:pPr>
        <w:pStyle w:val="2"/>
      </w:pPr>
    </w:p>
    <w:p w14:paraId="73385A7D">
      <w:pPr>
        <w:pStyle w:val="3"/>
        <w:rPr>
          <w:rFonts w:hint="eastAsia" w:eastAsia="宋体"/>
          <w:lang w:eastAsia="zh-CN"/>
        </w:rPr>
      </w:pPr>
    </w:p>
    <w:p w14:paraId="27D84D51">
      <w:pPr>
        <w:pStyle w:val="7"/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textAlignment w:val="auto"/>
        <w:rPr>
          <w:rFonts w:hint="default"/>
          <w:lang w:val="en-US" w:eastAsia="zh-CN"/>
        </w:rPr>
      </w:pPr>
    </w:p>
    <w:p w14:paraId="552C3952">
      <w:pPr>
        <w:pStyle w:val="15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280" w:firstLineChars="100"/>
        <w:jc w:val="both"/>
        <w:textAlignment w:val="auto"/>
        <w:rPr>
          <w:rFonts w:hint="eastAsia" w:ascii="Times New Roman" w:hAnsi="Times New Roman" w:eastAsia="仿宋_GB2312" w:cs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28"/>
          <w:szCs w:val="28"/>
          <w:lang w:val="en-US" w:eastAsia="zh-CN"/>
        </w:rPr>
        <w:t>抄送：州党办，人大办，政协办，中级人民法院，人民检察院。</w:t>
      </w:r>
    </w:p>
    <w:p w14:paraId="4E0AD688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210" w:firstLineChars="100"/>
        <w:textAlignment w:val="auto"/>
        <w:rPr>
          <w:rFonts w:hint="default" w:ascii="Times New Roman" w:hAnsi="Times New Roman" w:eastAsia="方正楷体_GBK" w:cs="Times New Roman"/>
          <w:b w:val="0"/>
          <w:bCs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3633470</wp:posOffset>
            </wp:positionH>
            <wp:positionV relativeFrom="paragraph">
              <wp:posOffset>525780</wp:posOffset>
            </wp:positionV>
            <wp:extent cx="1790700" cy="704850"/>
            <wp:effectExtent l="0" t="0" r="0" b="0"/>
            <wp:wrapTight wrapText="bothSides">
              <wp:wrapPolygon>
                <wp:start x="0" y="0"/>
                <wp:lineTo x="0" y="21016"/>
                <wp:lineTo x="21370" y="21016"/>
                <wp:lineTo x="21370" y="0"/>
                <wp:lineTo x="0" y="0"/>
              </wp:wrapPolygon>
            </wp:wrapTight>
            <wp:docPr id="9" name="图片 9" descr="3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号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仿宋_GB2312"/>
          <w:spacing w:val="0"/>
          <w:sz w:val="28"/>
          <w:szCs w:val="28"/>
          <w:lang w:eastAsia="zh-CN"/>
        </w:rPr>
        <w:t>克孜勒苏柯尔克孜自治州人民政府办公室</w:t>
      </w:r>
      <w:r>
        <w:rPr>
          <w:rFonts w:hint="eastAsia" w:ascii="Times New Roman" w:hAnsi="Times New Roman" w:eastAsia="仿宋_GB2312" w:cs="仿宋_GB2312"/>
          <w:spacing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lang w:val="en-US"/>
        </w:rPr>
        <w:t xml:space="preserve"> 20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pacing w:val="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lang w:eastAsia="zh-CN"/>
        </w:rPr>
        <w:t>年</w:t>
      </w:r>
      <w:r>
        <w:rPr>
          <w:rFonts w:hint="eastAsia" w:ascii="Times New Roman" w:hAnsi="Times New Roman" w:cs="Times New Roman"/>
          <w:spacing w:val="0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lang w:eastAsia="zh-CN"/>
        </w:rPr>
        <w:t>月</w:t>
      </w:r>
      <w:r>
        <w:rPr>
          <w:rFonts w:hint="eastAsia" w:ascii="Times New Roman" w:hAnsi="Times New Roman" w:cs="Times New Roman"/>
          <w:spacing w:val="0"/>
          <w:sz w:val="28"/>
          <w:szCs w:val="28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  <w:lang w:eastAsia="zh-CN"/>
        </w:rPr>
        <w:t>日印</w:t>
      </w:r>
      <w:r>
        <w:rPr>
          <w:rFonts w:hint="eastAsia" w:ascii="Times New Roman" w:hAnsi="Times New Roman" w:eastAsia="仿宋_GB2312" w:cs="仿宋_GB2312"/>
          <w:spacing w:val="0"/>
          <w:sz w:val="28"/>
          <w:szCs w:val="28"/>
          <w:lang w:eastAsia="zh-CN"/>
        </w:rPr>
        <w:t>发</w:t>
      </w:r>
    </w:p>
    <w:sectPr>
      <w:footerReference r:id="rId4" w:type="first"/>
      <w:footerReference r:id="rId3" w:type="default"/>
      <w:pgSz w:w="11906" w:h="16838"/>
      <w:pgMar w:top="2098" w:right="1531" w:bottom="1984" w:left="1531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86D42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-152400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6DDA88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2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80QIJ1AAAAAg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6DDA88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265D6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-152400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EEF3A">
                          <w:pPr>
                            <w:pStyle w:val="1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2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vNECCdQAAAAIAQAADwAAAAAAAAABACAAAAAiAAAAZHJzL2Rvd25yZXYueG1sUEsB&#10;AhQAFAAAAAgAh07iQLqMOCsyAgAAY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EEF3A">
                    <w:pPr>
                      <w:pStyle w:val="1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ABF4D0"/>
    <w:multiLevelType w:val="singleLevel"/>
    <w:tmpl w:val="DBABF4D0"/>
    <w:lvl w:ilvl="0" w:tentative="0">
      <w:start w:val="1"/>
      <w:numFmt w:val="decimal"/>
      <w:pStyle w:val="12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C3126"/>
    <w:rsid w:val="03AE322A"/>
    <w:rsid w:val="055A21AA"/>
    <w:rsid w:val="05D314EB"/>
    <w:rsid w:val="08093329"/>
    <w:rsid w:val="09656325"/>
    <w:rsid w:val="12103585"/>
    <w:rsid w:val="195E13B8"/>
    <w:rsid w:val="19973B3F"/>
    <w:rsid w:val="2DB35AB3"/>
    <w:rsid w:val="2FBF68E2"/>
    <w:rsid w:val="30973CE8"/>
    <w:rsid w:val="37AE949F"/>
    <w:rsid w:val="37C4451A"/>
    <w:rsid w:val="3A10216C"/>
    <w:rsid w:val="3CFA0046"/>
    <w:rsid w:val="46110FD4"/>
    <w:rsid w:val="4DFB7337"/>
    <w:rsid w:val="4E7B780A"/>
    <w:rsid w:val="4ED52BDE"/>
    <w:rsid w:val="56C258BF"/>
    <w:rsid w:val="58766DDF"/>
    <w:rsid w:val="58ED3AC8"/>
    <w:rsid w:val="5EDF5241"/>
    <w:rsid w:val="5FDE0586"/>
    <w:rsid w:val="67E700AA"/>
    <w:rsid w:val="696C6A5D"/>
    <w:rsid w:val="69CC0D4B"/>
    <w:rsid w:val="6DF68A16"/>
    <w:rsid w:val="6FCF29F4"/>
    <w:rsid w:val="6FFD05ED"/>
    <w:rsid w:val="75AE2201"/>
    <w:rsid w:val="76FD9ABF"/>
    <w:rsid w:val="7774E1A1"/>
    <w:rsid w:val="77FE1693"/>
    <w:rsid w:val="79060BDD"/>
    <w:rsid w:val="79232E17"/>
    <w:rsid w:val="7ACC3126"/>
    <w:rsid w:val="7AFA05C8"/>
    <w:rsid w:val="7E59A9CC"/>
    <w:rsid w:val="7EFFADD4"/>
    <w:rsid w:val="8FFF3C6C"/>
    <w:rsid w:val="9BD922B9"/>
    <w:rsid w:val="B7E78C1F"/>
    <w:rsid w:val="C1BF47A5"/>
    <w:rsid w:val="DBC496E2"/>
    <w:rsid w:val="DBFEB8AF"/>
    <w:rsid w:val="E64F4A50"/>
    <w:rsid w:val="F0FDEC15"/>
    <w:rsid w:val="F7CFCEA9"/>
    <w:rsid w:val="FAE7C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7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paragraph" w:styleId="4">
    <w:name w:val="Body Text First Indent"/>
    <w:basedOn w:val="3"/>
    <w:next w:val="1"/>
    <w:qFormat/>
    <w:uiPriority w:val="0"/>
    <w:pPr>
      <w:spacing w:beforeLines="0" w:afterLines="0"/>
      <w:ind w:firstLine="420" w:firstLineChars="100"/>
    </w:pPr>
    <w:rPr>
      <w:rFonts w:hint="eastAsia"/>
      <w:sz w:val="44"/>
      <w:szCs w:val="24"/>
    </w:rPr>
  </w:style>
  <w:style w:type="paragraph" w:styleId="8">
    <w:name w:val="Normal Indent"/>
    <w:basedOn w:val="1"/>
    <w:next w:val="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9">
    <w:name w:val="Body Text Indent"/>
    <w:basedOn w:val="1"/>
    <w:next w:val="10"/>
    <w:qFormat/>
    <w:uiPriority w:val="0"/>
    <w:pPr>
      <w:spacing w:after="120" w:afterLines="0"/>
      <w:ind w:left="420" w:leftChars="200"/>
    </w:pPr>
  </w:style>
  <w:style w:type="paragraph" w:customStyle="1" w:styleId="10">
    <w:name w:val="Char Char Char"/>
    <w:basedOn w:val="1"/>
    <w:qFormat/>
    <w:uiPriority w:val="0"/>
    <w:rPr>
      <w:sz w:val="21"/>
      <w:szCs w:val="24"/>
    </w:rPr>
  </w:style>
  <w:style w:type="paragraph" w:styleId="11">
    <w:name w:val="Plain Text"/>
    <w:basedOn w:val="1"/>
    <w:next w:val="12"/>
    <w:qFormat/>
    <w:uiPriority w:val="0"/>
    <w:rPr>
      <w:rFonts w:ascii="宋体" w:hAnsi="Courier New"/>
      <w:sz w:val="28"/>
      <w:szCs w:val="20"/>
    </w:rPr>
  </w:style>
  <w:style w:type="paragraph" w:styleId="12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Body Text First Indent 2"/>
    <w:basedOn w:val="9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2026-09-25T07:09:00Z</dcterms:created>
  <dc:creator>Administrator</dc:creator>
  <cp:lastModifiedBy>公文科(新)</cp:lastModifiedBy>
  <cp:lastPrinted>2026-10-23T10:07:00Z</cp:lastPrinted>
  <dcterms:modified xsi:type="dcterms:W3CDTF">2026-10-27T10:47:44Z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7BE27488BA8C476D91F7E77E57E377B9_13</vt:lpwstr>
  </property>
</Properties>
</file>