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72255">
      <w:pPr>
        <w:pStyle w:val="6"/>
        <w:ind w:left="0" w:leftChars="0" w:firstLine="0" w:firstLineChars="0"/>
        <w:rPr>
          <w:rFonts w:hint="eastAsia" w:ascii="Times New Roman" w:hAnsi="Times New Roman" w:eastAsia="黑体" w:cs="Times New Roman"/>
          <w:color w:val="000000"/>
          <w:spacing w:val="12"/>
          <w:sz w:val="32"/>
          <w:szCs w:val="32"/>
          <w:lang w:val="en-US" w:eastAsia="zh-CN"/>
        </w:rPr>
      </w:pPr>
    </w:p>
    <w:p w14:paraId="394CAFB9">
      <w:pPr>
        <w:pStyle w:val="6"/>
        <w:ind w:left="0" w:leftChars="0" w:firstLine="0" w:firstLineChars="0"/>
        <w:rPr>
          <w:rFonts w:hint="default" w:ascii="Times New Roman" w:hAnsi="Times New Roman"/>
          <w:lang w:val="en-US"/>
        </w:rPr>
      </w:pPr>
    </w:p>
    <w:p w14:paraId="437B20A2">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ind w:left="0" w:right="0"/>
        <w:jc w:val="both"/>
        <w:rPr>
          <w:rFonts w:hint="default" w:ascii="Times New Roman" w:hAnsi="Times New Roman" w:eastAsia="仿宋_GB2312" w:cs="Times New Roman"/>
          <w:spacing w:val="12"/>
          <w:sz w:val="32"/>
          <w:szCs w:val="32"/>
          <w:lang w:val="en-US"/>
        </w:rPr>
      </w:pPr>
      <w:r>
        <w:rPr>
          <w:rFonts w:hint="default" w:ascii="Times New Roman" w:hAnsi="Times New Roman" w:eastAsia="宋体" w:cs="Times New Roman"/>
          <w:kern w:val="2"/>
          <w:sz w:val="21"/>
          <w:szCs w:val="21"/>
          <w:lang w:val="en-US" w:eastAsia="zh-CN" w:bidi="ar"/>
        </w:rPr>
        <w:pict>
          <v:shape id="_x0000_s1029" o:spid="_x0000_s1029" o:spt="136" type="#_x0000_t136" style="position:absolute;left:0pt;margin-left:-0.1pt;margin-top:14.85pt;height:42.3pt;width:443.35pt;z-index:251660288;mso-width-relative:page;mso-height-relative:page;" fillcolor="#E41908" filled="t" stroked="t" coordsize="21600,21600" adj="10800">
            <v:path/>
            <v:fill on="t" color2="fill darken(117)" focussize="0,0"/>
            <v:stroke color="#FF0000"/>
            <v:imagedata o:title=""/>
            <o:lock v:ext="edit" aspectratio="f"/>
            <v:textpath on="t" fitshape="t" fitpath="t" trim="t" xscale="f" string="克 孜 勒 苏 柯 尔 克 孜 自 治 州 人 民 政 府" style="font-family:方正小标宋简体;font-size:36pt;v-text-align:center;"/>
          </v:shape>
        </w:pict>
      </w:r>
    </w:p>
    <w:p w14:paraId="0B06A1D2">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ind w:left="0" w:right="0"/>
        <w:jc w:val="both"/>
        <w:rPr>
          <w:rFonts w:hint="default" w:ascii="Times New Roman" w:hAnsi="Times New Roman" w:eastAsia="宋体" w:cs="Times New Roman"/>
          <w:spacing w:val="12"/>
          <w:lang w:val="en-US"/>
        </w:rPr>
      </w:pPr>
    </w:p>
    <w:p w14:paraId="3926A010">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jc w:val="center"/>
        <w:rPr>
          <w:rFonts w:hint="default" w:ascii="Times New Roman" w:hAnsi="Times New Roman" w:eastAsia="仿宋_GB2312" w:cs="Times New Roman"/>
          <w:kern w:val="2"/>
          <w:sz w:val="32"/>
          <w:szCs w:val="32"/>
          <w:lang w:val="en-US" w:eastAsia="zh-CN" w:bidi="ar"/>
        </w:rPr>
      </w:pPr>
      <w:r>
        <w:rPr>
          <w:rFonts w:hint="default" w:ascii="Times New Roman" w:hAnsi="Times New Roman" w:eastAsia="宋体" w:cs="Times New Roman"/>
          <w:kern w:val="2"/>
          <w:sz w:val="21"/>
          <w:szCs w:val="21"/>
          <w:lang w:val="en-US" w:eastAsia="zh-CN" w:bidi="ar"/>
        </w:rPr>
        <w:pict>
          <v:shape id="_x0000_s1030" o:spid="_x0000_s1030" o:spt="136" type="#_x0000_t136" style="position:absolute;left:0pt;margin-left:59.25pt;margin-top:28.15pt;height:53.6pt;width:326.25pt;z-index:251661312;mso-width-relative:page;mso-height-relative:page;" fillcolor="#FF0000" filled="t" stroked="t" coordsize="21600,21600" adj="10800">
            <v:path/>
            <v:fill on="t" color2="fill darken(117)" focussize="0,0"/>
            <v:stroke color="#FF0000"/>
            <v:imagedata o:title=""/>
            <o:lock v:ext="edit" aspectratio="f"/>
            <v:textpath on="t" fitshape="t" fitpath="t" trim="t" xscale="f" string="办    公    室    文    件" style="font-family:方正小标宋简体;font-size:36pt;v-text-align:center;"/>
          </v:shape>
        </w:pict>
      </w:r>
    </w:p>
    <w:p w14:paraId="41B9EA76">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firstLine="0" w:firstLineChars="0"/>
        <w:jc w:val="center"/>
        <w:rPr>
          <w:rFonts w:hint="default" w:ascii="Times New Roman" w:hAnsi="Times New Roman" w:eastAsia="仿宋_GB2312" w:cs="Times New Roman"/>
          <w:kern w:val="2"/>
          <w:sz w:val="32"/>
          <w:szCs w:val="32"/>
          <w:lang w:val="en-US" w:eastAsia="zh-CN" w:bidi="ar"/>
        </w:rPr>
      </w:pPr>
    </w:p>
    <w:p w14:paraId="643F53F3">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before="0" w:beforeAutospacing="0" w:after="0" w:afterAutospacing="0" w:line="400" w:lineRule="exact"/>
        <w:ind w:left="0"/>
        <w:textAlignment w:val="auto"/>
        <w:rPr>
          <w:rFonts w:hint="default" w:ascii="Times New Roman" w:hAnsi="Times New Roman" w:eastAsia="宋体" w:cs="Times New Roman"/>
          <w:szCs w:val="32"/>
          <w:lang w:val="en-US"/>
        </w:rPr>
      </w:pPr>
    </w:p>
    <w:p w14:paraId="71F01DA5">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imes New Roman" w:hAnsi="Times New Roman"/>
          <w:lang w:val="en-US"/>
        </w:rPr>
      </w:pPr>
    </w:p>
    <w:p w14:paraId="5BB33586">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firstLine="0" w:firstLineChars="0"/>
        <w:jc w:val="center"/>
        <w:rPr>
          <w:rFonts w:hint="default" w:ascii="Times New Roman" w:hAnsi="Times New Roman" w:eastAsia="仿宋_GB2312" w:cs="Times New Roman"/>
          <w:kern w:val="2"/>
          <w:sz w:val="32"/>
          <w:szCs w:val="32"/>
          <w:lang w:val="en-US" w:eastAsia="zh-CN" w:bidi="ar"/>
        </w:rPr>
      </w:pPr>
    </w:p>
    <w:p w14:paraId="0D3D2D12">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firstLine="0" w:firstLineChars="0"/>
        <w:jc w:val="center"/>
        <w:rPr>
          <w:rFonts w:hint="default" w:ascii="Times New Roman" w:hAnsi="Times New Roman"/>
          <w:lang w:val="en-US"/>
        </w:rPr>
      </w:pPr>
      <w:r>
        <w:rPr>
          <w:rFonts w:hint="default" w:ascii="Times New Roman" w:hAnsi="Times New Roman" w:eastAsia="仿宋_GB2312" w:cs="Times New Roman"/>
          <w:kern w:val="2"/>
          <w:sz w:val="32"/>
          <w:szCs w:val="32"/>
          <w:lang w:val="en-US" w:eastAsia="zh-CN" w:bidi="ar"/>
        </w:rPr>
        <w:t>克政办</w:t>
      </w:r>
      <w:r>
        <w:rPr>
          <w:rFonts w:hint="eastAsia" w:eastAsia="仿宋_GB2312" w:cs="Times New Roman"/>
          <w:kern w:val="2"/>
          <w:sz w:val="32"/>
          <w:szCs w:val="32"/>
          <w:lang w:val="en-US" w:eastAsia="zh-CN" w:bidi="ar"/>
        </w:rPr>
        <w:t>规</w:t>
      </w:r>
      <w:r>
        <w:rPr>
          <w:rFonts w:hint="default" w:ascii="Times New Roman" w:hAnsi="Times New Roman" w:eastAsia="仿宋_GB2312" w:cs="Times New Roman"/>
          <w:kern w:val="2"/>
          <w:sz w:val="32"/>
          <w:szCs w:val="32"/>
          <w:lang w:val="en-US" w:eastAsia="zh-CN" w:bidi="ar"/>
        </w:rPr>
        <w:t>〔202</w:t>
      </w:r>
      <w:r>
        <w:rPr>
          <w:rFonts w:hint="eastAsia" w:ascii="Times New Roman" w:hAnsi="Times New Roman" w:eastAsia="仿宋_GB2312" w:cs="Times New Roman"/>
          <w:kern w:val="2"/>
          <w:sz w:val="32"/>
          <w:szCs w:val="32"/>
          <w:lang w:val="en-US" w:eastAsia="zh-CN" w:bidi="ar"/>
        </w:rPr>
        <w:t>6</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1</w:t>
      </w:r>
      <w:r>
        <w:rPr>
          <w:rFonts w:hint="default" w:ascii="Times New Roman" w:hAnsi="Times New Roman" w:eastAsia="仿宋_GB2312" w:cs="Times New Roman"/>
          <w:kern w:val="2"/>
          <w:sz w:val="32"/>
          <w:szCs w:val="32"/>
          <w:lang w:val="en-US" w:eastAsia="zh-CN" w:bidi="ar"/>
        </w:rPr>
        <w:t>号</w:t>
      </w:r>
    </w:p>
    <w:p w14:paraId="20D89FD3">
      <w:pPr>
        <w:pStyle w:val="13"/>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Times New Roman" w:hAnsi="Times New Roman" w:eastAsia="方正小标宋简体" w:cs="方正小标宋简体"/>
          <w:color w:val="auto"/>
          <w:spacing w:val="0"/>
          <w:sz w:val="44"/>
          <w:szCs w:val="44"/>
          <w:lang w:eastAsia="zh-CN"/>
        </w:rPr>
      </w:pPr>
      <w:r>
        <w:rPr>
          <w:rFonts w:hint="default" w:ascii="Times New Roman" w:hAnsi="Times New Roman" w:eastAsia="宋体" w:cs="Times New Roman"/>
          <w:kern w:val="2"/>
          <w:sz w:val="21"/>
          <w:szCs w:val="21"/>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-86995</wp:posOffset>
                </wp:positionH>
                <wp:positionV relativeFrom="paragraph">
                  <wp:posOffset>19685</wp:posOffset>
                </wp:positionV>
                <wp:extent cx="5763895" cy="635"/>
                <wp:effectExtent l="0" t="10795" r="8255" b="17145"/>
                <wp:wrapNone/>
                <wp:docPr id="7" name="直接连接符 7"/>
                <wp:cNvGraphicFramePr/>
                <a:graphic xmlns:a="http://schemas.openxmlformats.org/drawingml/2006/main">
                  <a:graphicData uri="http://schemas.microsoft.com/office/word/2010/wordprocessingShape">
                    <wps:wsp>
                      <wps:cNvCnPr/>
                      <wps:spPr>
                        <a:xfrm>
                          <a:off x="0" y="0"/>
                          <a:ext cx="5634990" cy="635"/>
                        </a:xfrm>
                        <a:prstGeom prst="line">
                          <a:avLst/>
                        </a:prstGeom>
                        <a:ln w="2222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85pt;margin-top:1.55pt;height:0.05pt;width:453.85pt;z-index:251659264;mso-width-relative:page;mso-height-relative:page;" filled="f" stroked="t" coordsize="21600,21600" o:gfxdata="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vzSBDXAAAABwEAAA8AAAAAAAAAAQAgAAAAIgAAAGRycy9kb3ducmV2&#10;LnhtbFBLAQIUABQAAAAIAIdO4kAtDPrk/QEAAPUDAAAOAAAAAAAAAAEAIAAAACYBAABkcnMvZTJv&#10;RG9jLnhtbFBLBQYAAAAABgAGAFkBAACVBQAAAAA=&#10;">
                <v:fill on="f" focussize="0,0"/>
                <v:stroke weight="1.75pt" color="#FF0000" joinstyle="round"/>
                <v:imagedata o:title=""/>
                <o:lock v:ext="edit" aspectratio="f"/>
              </v:line>
            </w:pict>
          </mc:Fallback>
        </mc:AlternateContent>
      </w:r>
    </w:p>
    <w:p w14:paraId="52A6BAD4">
      <w:pPr>
        <w:keepNext w:val="0"/>
        <w:keepLines w:val="0"/>
        <w:pageBreakBefore w:val="0"/>
        <w:widowControl w:val="0"/>
        <w:kinsoku/>
        <w:wordWrap/>
        <w:overflowPunct/>
        <w:topLinePunct w:val="0"/>
        <w:autoSpaceDE/>
        <w:autoSpaceDN/>
        <w:bidi w:val="0"/>
        <w:adjustRightInd/>
        <w:snapToGrid/>
        <w:spacing w:line="538" w:lineRule="exact"/>
        <w:ind w:firstLine="0" w:firstLineChars="0"/>
        <w:jc w:val="center"/>
        <w:textAlignment w:val="auto"/>
        <w:rPr>
          <w:rFonts w:hint="eastAsia" w:ascii="Times New Roman" w:hAnsi="Times New Roman" w:eastAsia="方正小标宋简体" w:cs="方正小标宋简体"/>
          <w:color w:val="000000"/>
          <w:sz w:val="44"/>
          <w:szCs w:val="44"/>
          <w:lang w:val="en-US" w:eastAsia="zh-CN"/>
        </w:rPr>
      </w:pPr>
      <w:bookmarkStart w:id="0" w:name="_GoBack"/>
      <w:r>
        <w:rPr>
          <w:rFonts w:hint="eastAsia" w:ascii="Times New Roman" w:hAnsi="Times New Roman" w:eastAsia="方正小标宋简体" w:cs="方正小标宋简体"/>
          <w:color w:val="000000"/>
          <w:sz w:val="44"/>
          <w:szCs w:val="44"/>
          <w:lang w:val="en-US" w:eastAsia="zh-CN"/>
        </w:rPr>
        <w:t>关于印发《克孜勒苏柯尔克孜自治州国有水利工程供水差异化水价和水费征收使用</w:t>
      </w:r>
    </w:p>
    <w:p w14:paraId="1C1E15A1">
      <w:pPr>
        <w:keepNext w:val="0"/>
        <w:keepLines w:val="0"/>
        <w:pageBreakBefore w:val="0"/>
        <w:widowControl w:val="0"/>
        <w:kinsoku/>
        <w:wordWrap/>
        <w:overflowPunct/>
        <w:topLinePunct w:val="0"/>
        <w:autoSpaceDE/>
        <w:autoSpaceDN/>
        <w:bidi w:val="0"/>
        <w:adjustRightInd/>
        <w:snapToGrid/>
        <w:spacing w:line="538" w:lineRule="exact"/>
        <w:ind w:firstLine="0" w:firstLineChars="0"/>
        <w:jc w:val="center"/>
        <w:textAlignment w:val="auto"/>
        <w:rPr>
          <w:rFonts w:hint="eastAsia" w:ascii="Times New Roman" w:hAnsi="Times New Roman" w:eastAsia="方正小标宋简体" w:cs="方正小标宋简体"/>
          <w:color w:val="000000"/>
          <w:sz w:val="44"/>
          <w:szCs w:val="44"/>
          <w:lang w:val="en-US" w:eastAsia="zh-CN"/>
        </w:rPr>
      </w:pPr>
      <w:r>
        <w:rPr>
          <w:rFonts w:hint="eastAsia" w:ascii="Times New Roman" w:hAnsi="Times New Roman" w:eastAsia="方正小标宋简体" w:cs="方正小标宋简体"/>
          <w:color w:val="000000"/>
          <w:sz w:val="44"/>
          <w:szCs w:val="44"/>
          <w:lang w:val="en-US" w:eastAsia="zh-CN"/>
        </w:rPr>
        <w:t>管理办法（试行）》的通知</w:t>
      </w:r>
    </w:p>
    <w:bookmarkEnd w:id="0"/>
    <w:p w14:paraId="3EE2A76A">
      <w:pPr>
        <w:keepNext w:val="0"/>
        <w:keepLines w:val="0"/>
        <w:pageBreakBefore w:val="0"/>
        <w:widowControl w:val="0"/>
        <w:kinsoku/>
        <w:wordWrap/>
        <w:overflowPunct/>
        <w:topLinePunct w:val="0"/>
        <w:autoSpaceDE/>
        <w:autoSpaceDN/>
        <w:bidi w:val="0"/>
        <w:adjustRightInd/>
        <w:snapToGrid/>
        <w:spacing w:line="538" w:lineRule="exact"/>
        <w:ind w:firstLine="0" w:firstLineChars="0"/>
        <w:jc w:val="both"/>
        <w:textAlignment w:val="auto"/>
        <w:rPr>
          <w:rFonts w:hint="eastAsia" w:ascii="Times New Roman" w:hAnsi="Times New Roman" w:eastAsia="方正小标宋简体" w:cs="方正小标宋简体"/>
          <w:color w:val="000000"/>
          <w:sz w:val="44"/>
          <w:szCs w:val="44"/>
          <w:lang w:val="en-US" w:eastAsia="zh-CN"/>
        </w:rPr>
      </w:pPr>
    </w:p>
    <w:p w14:paraId="4E04EF8D">
      <w:pPr>
        <w:keepNext w:val="0"/>
        <w:keepLines w:val="0"/>
        <w:pageBreakBefore w:val="0"/>
        <w:widowControl w:val="0"/>
        <w:kinsoku/>
        <w:wordWrap/>
        <w:overflowPunct/>
        <w:topLinePunct w:val="0"/>
        <w:autoSpaceDE/>
        <w:autoSpaceDN/>
        <w:bidi w:val="0"/>
        <w:adjustRightInd/>
        <w:snapToGrid/>
        <w:spacing w:line="538" w:lineRule="exact"/>
        <w:ind w:firstLine="0" w:firstLineChars="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sz w:val="32"/>
          <w:szCs w:val="32"/>
          <w:lang w:eastAsia="zh-CN"/>
        </w:rPr>
        <w:t>各县（市</w:t>
      </w:r>
      <w:r>
        <w:rPr>
          <w:rFonts w:hint="eastAsia" w:ascii="Times New Roman" w:hAnsi="Times New Roman" w:eastAsia="方正仿宋_GBK" w:cs="方正仿宋_GBK"/>
          <w:sz w:val="32"/>
          <w:szCs w:val="32"/>
          <w:lang w:val="en-US" w:eastAsia="zh-CN"/>
        </w:rPr>
        <w:t>）人民政府，自治州人民政府各工作部门、州直各单位</w:t>
      </w:r>
      <w:r>
        <w:rPr>
          <w:rFonts w:hint="eastAsia" w:ascii="Times New Roman" w:hAnsi="Times New Roman" w:eastAsia="方正仿宋_GBK" w:cs="方正仿宋_GBK"/>
          <w:color w:val="000000"/>
          <w:sz w:val="32"/>
          <w:szCs w:val="32"/>
          <w:lang w:val="en-US" w:eastAsia="zh-CN"/>
        </w:rPr>
        <w:t>：</w:t>
      </w:r>
    </w:p>
    <w:p w14:paraId="139CE537">
      <w:pPr>
        <w:keepNext w:val="0"/>
        <w:keepLines w:val="0"/>
        <w:pageBreakBefore w:val="0"/>
        <w:widowControl w:val="0"/>
        <w:kinsoku/>
        <w:wordWrap/>
        <w:overflowPunct/>
        <w:topLinePunct w:val="0"/>
        <w:autoSpaceDE/>
        <w:autoSpaceDN/>
        <w:bidi w:val="0"/>
        <w:adjustRightInd/>
        <w:snapToGrid/>
        <w:spacing w:line="538" w:lineRule="exact"/>
        <w:ind w:firstLine="640" w:firstLineChars="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《克孜勒苏柯尔克孜自治州国有水利工程供水差异化水价和水费征收使用管理办法（试行）》已经自治州第十五届人民政府第58次常务会议审议通过，现印发给你们，请认真贯彻执行。</w:t>
      </w:r>
    </w:p>
    <w:p w14:paraId="1CF375FC">
      <w:pPr>
        <w:keepNext w:val="0"/>
        <w:keepLines w:val="0"/>
        <w:pageBreakBefore w:val="0"/>
        <w:widowControl w:val="0"/>
        <w:kinsoku/>
        <w:wordWrap/>
        <w:overflowPunct/>
        <w:topLinePunct w:val="0"/>
        <w:autoSpaceDE/>
        <w:autoSpaceDN/>
        <w:bidi w:val="0"/>
        <w:adjustRightInd/>
        <w:snapToGrid/>
        <w:spacing w:line="538" w:lineRule="exact"/>
        <w:jc w:val="both"/>
        <w:textAlignment w:val="auto"/>
        <w:rPr>
          <w:rFonts w:hint="eastAsia" w:ascii="Times New Roman" w:hAnsi="Times New Roman" w:eastAsia="方正仿宋_GBK" w:cs="方正仿宋_GBK"/>
          <w:color w:val="000000"/>
          <w:sz w:val="32"/>
          <w:szCs w:val="32"/>
          <w:lang w:val="en-US" w:eastAsia="zh-CN"/>
        </w:rPr>
      </w:pPr>
    </w:p>
    <w:p w14:paraId="7750F8F5">
      <w:pPr>
        <w:keepNext w:val="0"/>
        <w:keepLines w:val="0"/>
        <w:pageBreakBefore w:val="0"/>
        <w:widowControl w:val="0"/>
        <w:kinsoku/>
        <w:wordWrap/>
        <w:overflowPunct/>
        <w:topLinePunct w:val="0"/>
        <w:autoSpaceDE/>
        <w:autoSpaceDN/>
        <w:bidi w:val="0"/>
        <w:adjustRightInd/>
        <w:snapToGrid/>
        <w:spacing w:line="538" w:lineRule="exact"/>
        <w:ind w:firstLine="640" w:firstLineChars="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 xml:space="preserve">               </w:t>
      </w:r>
      <w:r>
        <w:rPr>
          <w:rFonts w:hint="eastAsia" w:ascii="Times New Roman" w:hAnsi="Times New Roman" w:eastAsia="方正仿宋_GBK" w:cs="方正仿宋_GBK"/>
          <w:sz w:val="32"/>
          <w:szCs w:val="32"/>
          <w:lang w:val="en-US" w:eastAsia="zh-CN"/>
        </w:rPr>
        <w:t>克孜勒苏柯尔克孜自治州人民政府办公室</w:t>
      </w:r>
    </w:p>
    <w:p w14:paraId="2A33EF8F">
      <w:pPr>
        <w:keepNext w:val="0"/>
        <w:keepLines w:val="0"/>
        <w:pageBreakBefore w:val="0"/>
        <w:widowControl w:val="0"/>
        <w:kinsoku/>
        <w:wordWrap/>
        <w:overflowPunct/>
        <w:topLinePunct w:val="0"/>
        <w:autoSpaceDE/>
        <w:autoSpaceDN/>
        <w:bidi w:val="0"/>
        <w:adjustRightInd/>
        <w:snapToGrid/>
        <w:spacing w:line="538" w:lineRule="exact"/>
        <w:ind w:firstLine="640" w:firstLineChars="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 xml:space="preserve">                        2026年9月</w:t>
      </w:r>
      <w:r>
        <w:rPr>
          <w:rFonts w:hint="default" w:ascii="Times New Roman" w:hAnsi="Times New Roman" w:eastAsia="方正仿宋_GBK" w:cs="方正仿宋_GBK"/>
          <w:color w:val="000000"/>
          <w:sz w:val="32"/>
          <w:szCs w:val="32"/>
          <w:lang w:val="en" w:eastAsia="zh-CN"/>
        </w:rPr>
        <w:t>2</w:t>
      </w:r>
      <w:r>
        <w:rPr>
          <w:rFonts w:hint="eastAsia" w:ascii="Times New Roman" w:hAnsi="Times New Roman" w:eastAsia="方正仿宋_GBK" w:cs="方正仿宋_GBK"/>
          <w:color w:val="000000"/>
          <w:sz w:val="32"/>
          <w:szCs w:val="32"/>
          <w:lang w:val="en-US" w:eastAsia="zh-CN"/>
        </w:rPr>
        <w:t>4日</w:t>
      </w:r>
    </w:p>
    <w:p w14:paraId="351733D2">
      <w:pPr>
        <w:keepNext w:val="0"/>
        <w:keepLines w:val="0"/>
        <w:pageBreakBefore w:val="0"/>
        <w:widowControl w:val="0"/>
        <w:kinsoku/>
        <w:wordWrap/>
        <w:overflowPunct/>
        <w:topLinePunct w:val="0"/>
        <w:autoSpaceDE/>
        <w:autoSpaceDN/>
        <w:bidi w:val="0"/>
        <w:adjustRightInd/>
        <w:snapToGrid/>
        <w:spacing w:line="538" w:lineRule="exact"/>
        <w:ind w:firstLine="640" w:firstLineChars="200"/>
        <w:jc w:val="both"/>
        <w:textAlignment w:val="auto"/>
        <w:rPr>
          <w:rFonts w:hint="default"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（此件公开发布）</w:t>
      </w:r>
    </w:p>
    <w:p w14:paraId="101D1632">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eastAsia" w:ascii="Times New Roman" w:hAnsi="Times New Roman" w:eastAsia="方正小标宋简体" w:cs="方正小标宋简体"/>
          <w:color w:val="000000"/>
          <w:sz w:val="44"/>
          <w:szCs w:val="44"/>
          <w:lang w:val="en-US" w:eastAsia="zh-CN"/>
        </w:rPr>
      </w:pPr>
      <w:r>
        <w:rPr>
          <w:rFonts w:hint="eastAsia" w:ascii="Times New Roman" w:hAnsi="Times New Roman" w:eastAsia="方正小标宋简体" w:cs="方正小标宋简体"/>
          <w:color w:val="000000"/>
          <w:sz w:val="44"/>
          <w:szCs w:val="44"/>
          <w:lang w:val="en-US" w:eastAsia="zh-CN"/>
        </w:rPr>
        <w:t>克孜勒苏柯尔克孜自治州国有水利工程</w:t>
      </w:r>
    </w:p>
    <w:p w14:paraId="5E3A3273">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eastAsia" w:ascii="Times New Roman" w:hAnsi="Times New Roman" w:eastAsia="方正小标宋简体" w:cs="方正小标宋简体"/>
          <w:color w:val="000000"/>
          <w:sz w:val="44"/>
          <w:szCs w:val="44"/>
          <w:lang w:val="en-US" w:eastAsia="zh-CN"/>
        </w:rPr>
      </w:pPr>
      <w:r>
        <w:rPr>
          <w:rFonts w:hint="eastAsia" w:ascii="Times New Roman" w:hAnsi="Times New Roman" w:eastAsia="方正小标宋简体" w:cs="方正小标宋简体"/>
          <w:color w:val="000000"/>
          <w:sz w:val="44"/>
          <w:szCs w:val="44"/>
          <w:lang w:val="en-US" w:eastAsia="zh-CN"/>
        </w:rPr>
        <w:t>供水差异化水价和水费征收使用</w:t>
      </w:r>
    </w:p>
    <w:p w14:paraId="7A27CDCD">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eastAsia" w:ascii="Times New Roman" w:hAnsi="Times New Roman" w:eastAsia="方正小标宋简体" w:cs="方正小标宋简体"/>
          <w:color w:val="000000"/>
          <w:sz w:val="44"/>
          <w:szCs w:val="44"/>
          <w:lang w:val="en-US" w:eastAsia="zh-CN"/>
        </w:rPr>
      </w:pPr>
      <w:r>
        <w:rPr>
          <w:rFonts w:hint="eastAsia" w:ascii="Times New Roman" w:hAnsi="Times New Roman" w:eastAsia="方正小标宋简体" w:cs="方正小标宋简体"/>
          <w:color w:val="000000"/>
          <w:sz w:val="44"/>
          <w:szCs w:val="44"/>
          <w:lang w:val="en-US" w:eastAsia="zh-CN"/>
        </w:rPr>
        <w:t>管理办法（试行）</w:t>
      </w:r>
    </w:p>
    <w:p w14:paraId="229D191F">
      <w:pPr>
        <w:keepNext w:val="0"/>
        <w:keepLines w:val="0"/>
        <w:pageBreakBefore w:val="0"/>
        <w:widowControl w:val="0"/>
        <w:kinsoku/>
        <w:wordWrap/>
        <w:overflowPunct/>
        <w:topLinePunct w:val="0"/>
        <w:autoSpaceDE/>
        <w:autoSpaceDN/>
        <w:bidi w:val="0"/>
        <w:adjustRightInd/>
        <w:snapToGrid/>
        <w:spacing w:line="578" w:lineRule="exact"/>
        <w:ind w:firstLine="0" w:firstLineChars="0"/>
        <w:jc w:val="both"/>
        <w:textAlignment w:val="auto"/>
        <w:rPr>
          <w:rFonts w:hint="default" w:ascii="Times New Roman" w:hAnsi="Times New Roman" w:eastAsia="方正仿宋_GBK" w:cs="宋体"/>
          <w:color w:val="000000"/>
          <w:sz w:val="32"/>
          <w:szCs w:val="32"/>
          <w:lang w:val="en-US" w:eastAsia="zh-CN"/>
        </w:rPr>
      </w:pPr>
    </w:p>
    <w:p w14:paraId="5194AA5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第一条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为科学合理核定国有水利工程供水价格，完善国有水利工程供水定价机制，充分发挥水利工程综合效益，促进水资源节约、保护和合理利用，根据《中华人民共和国水法》《国家发展改革委水利工程供水价格管理办法》（第</w:t>
      </w:r>
      <w:r>
        <w:rPr>
          <w:rFonts w:hint="default" w:ascii="Times New Roman" w:hAnsi="Times New Roman" w:eastAsia="宋体" w:cs="Times New Roman"/>
          <w:b w:val="0"/>
          <w:bCs/>
          <w:sz w:val="32"/>
          <w:szCs w:val="32"/>
        </w:rPr>
        <w:t>54</w:t>
      </w:r>
      <w:r>
        <w:rPr>
          <w:rFonts w:hint="eastAsia" w:ascii="方正仿宋_GBK" w:hAnsi="方正仿宋_GBK" w:eastAsia="方正仿宋_GBK" w:cs="方正仿宋_GBK"/>
          <w:b w:val="0"/>
          <w:bCs/>
          <w:sz w:val="32"/>
          <w:szCs w:val="32"/>
        </w:rPr>
        <w:t>号令）和《自治区水利工程供水价格管理办法》（新发改农价〔</w:t>
      </w:r>
      <w:r>
        <w:rPr>
          <w:rFonts w:hint="default" w:ascii="Times New Roman" w:hAnsi="Times New Roman" w:eastAsia="宋体" w:cs="Times New Roman"/>
          <w:b w:val="0"/>
          <w:bCs/>
          <w:sz w:val="32"/>
          <w:szCs w:val="32"/>
        </w:rPr>
        <w:t>2024</w:t>
      </w:r>
      <w:r>
        <w:rPr>
          <w:rFonts w:hint="eastAsia" w:ascii="方正仿宋_GBK" w:hAnsi="方正仿宋_GBK" w:eastAsia="方正仿宋_GBK" w:cs="方正仿宋_GBK"/>
          <w:b w:val="0"/>
          <w:bCs/>
          <w:sz w:val="32"/>
          <w:szCs w:val="32"/>
        </w:rPr>
        <w:t>〕</w:t>
      </w:r>
      <w:r>
        <w:rPr>
          <w:rFonts w:hint="default" w:ascii="Times New Roman" w:hAnsi="Times New Roman" w:eastAsia="宋体" w:cs="Times New Roman"/>
          <w:b w:val="0"/>
          <w:bCs/>
          <w:sz w:val="32"/>
          <w:szCs w:val="32"/>
        </w:rPr>
        <w:t>189</w:t>
      </w:r>
      <w:r>
        <w:rPr>
          <w:rFonts w:hint="eastAsia" w:ascii="方正仿宋_GBK" w:hAnsi="方正仿宋_GBK" w:eastAsia="方正仿宋_GBK" w:cs="方正仿宋_GBK"/>
          <w:b w:val="0"/>
          <w:bCs/>
          <w:sz w:val="32"/>
          <w:szCs w:val="32"/>
        </w:rPr>
        <w:t>号）要求，结合自治州实际，制定本办法。</w:t>
      </w:r>
    </w:p>
    <w:p w14:paraId="2B9B739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第二条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自治州水利工程供水严格实行取水许可和有偿使用制度。凡在自治州范围内，经拦、蓄、调、引、提、排等水利工程设施供给的地表水和地下水，均实行供水有偿使用制度；农业生产取用地表水超过规定限额的，暂免征收水资源税；农业生产取用地下水的，按照水资源超载地区、不超载地区规定的限额，分别从量征收水资源税。各供水单位应当按照水资源管理“三条红线”和水资源刚性约束制度要求，强化用水管理，严控用水总量，提高用水效率。</w:t>
      </w:r>
    </w:p>
    <w:p w14:paraId="2E18AFE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第三条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自治州水利工程实行县（市）国有水利工程、村组集体水利工程两级管理制度。</w:t>
      </w:r>
    </w:p>
    <w:p w14:paraId="0FAFEA9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一）国有水利工程管理单位负责本行政区域内水库、渠首等水源工程及干、支渠骨干输配水工程的运行维护和水资源统一调度管理。水利工程供水实行按量计价，一般以产权分界点或者交水断面的计量售水量作为计价点售水量。</w:t>
      </w:r>
    </w:p>
    <w:p w14:paraId="5FB5674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（二）村组或者农民用水合作组织主要负责村组集体水利工程（农村集体所有的田间斗、农渠等末级渠系工程）的运行维护和配水到户管理。全面推行</w:t>
      </w:r>
      <w:r>
        <w:rPr>
          <w:rFonts w:hint="eastAsia" w:ascii="方正仿宋_GBK" w:hAnsi="方正仿宋_GBK" w:eastAsia="方正仿宋_GBK" w:cs="方正仿宋_GBK"/>
          <w:b w:val="0"/>
          <w:bCs/>
          <w:sz w:val="32"/>
          <w:szCs w:val="32"/>
          <w:lang w:eastAsia="zh-CN"/>
        </w:rPr>
        <w:t>“</w:t>
      </w:r>
      <w:r>
        <w:rPr>
          <w:rFonts w:hint="eastAsia" w:ascii="方正仿宋_GBK" w:hAnsi="方正仿宋_GBK" w:eastAsia="方正仿宋_GBK" w:cs="方正仿宋_GBK"/>
          <w:b w:val="0"/>
          <w:bCs/>
          <w:sz w:val="32"/>
          <w:szCs w:val="32"/>
        </w:rPr>
        <w:t>按方收费”，水费可按当年实际灌溉面积计收，计量水费按斗口（井口）供水量计收；对于暂不具备计量条件的区域，计量点实行按方收费，终端实行按亩分摊计费。</w:t>
      </w:r>
    </w:p>
    <w:p w14:paraId="67E6B23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第四条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自治州水利工程供水价格执行“国有水利工程供水价格+末级渠系维护费”的终端水价制度。国有水利工程供水价格根据动态调整的最新审核成本合理确定。末级渠系维护费按照补偿末级渠系合理维护管理费用的原则核定，实行政府指导价。末级渠系维护费应当专账核算、专款专用，全额用于末级渠系供水管理和维修养护，其中用于末级渠系维修养护的支出不得低于</w:t>
      </w:r>
      <w:r>
        <w:rPr>
          <w:rFonts w:hint="default" w:ascii="Times New Roman" w:hAnsi="Times New Roman" w:eastAsia="宋体" w:cs="Times New Roman"/>
          <w:b w:val="0"/>
          <w:bCs/>
          <w:sz w:val="32"/>
          <w:szCs w:val="32"/>
        </w:rPr>
        <w:t>60</w:t>
      </w:r>
      <w:r>
        <w:rPr>
          <w:rFonts w:hint="eastAsia" w:ascii="方正仿宋_GBK" w:hAnsi="方正仿宋_GBK" w:eastAsia="方正仿宋_GBK" w:cs="方正仿宋_GBK"/>
          <w:b w:val="0"/>
          <w:bCs/>
          <w:sz w:val="32"/>
          <w:szCs w:val="32"/>
        </w:rPr>
        <w:t>%，任何单位和个人不得截留、挪用或者挤占。</w:t>
      </w:r>
    </w:p>
    <w:p w14:paraId="57F3828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第五条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自治州水利工程供水价格实行差异化水价和“新水新价”制度。</w:t>
      </w:r>
    </w:p>
    <w:p w14:paraId="3BAEB52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一）根据各县（市）水资源禀赋、灌溉条件、经济社会发展水平、农业生产种植结构、供水类型等用水情况，实行差异化水价和水资源税政策；地表水农业用水统一免征水资源税，地下水按土地性质差异化计征，拉大高耗水行业水价价差。</w:t>
      </w:r>
    </w:p>
    <w:p w14:paraId="3033C74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（二）新建水利工程运行初期的供水价格，由定价部门根据批复的可行性研究报告、初步设计的成本参数及设计供水量确定，保障工程正常运行。</w:t>
      </w:r>
    </w:p>
    <w:p w14:paraId="0ACB1DE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（三）新建重大水利工程可实行基本水价与计量水价相结合的两部制水价；原有水利工程具备条件的，可以实行两部制水价。基本水价原则上不超过综合水价的</w:t>
      </w:r>
      <w:r>
        <w:rPr>
          <w:rFonts w:hint="default" w:ascii="Times New Roman" w:hAnsi="Times New Roman" w:eastAsia="宋体" w:cs="Times New Roman"/>
          <w:b w:val="0"/>
          <w:bCs/>
          <w:sz w:val="32"/>
          <w:szCs w:val="32"/>
        </w:rPr>
        <w:t>50</w:t>
      </w:r>
      <w:r>
        <w:rPr>
          <w:rFonts w:hint="eastAsia" w:ascii="方正仿宋_GBK" w:hAnsi="方正仿宋_GBK" w:eastAsia="方正仿宋_GBK" w:cs="方正仿宋_GBK"/>
          <w:b w:val="0"/>
          <w:bCs/>
          <w:sz w:val="32"/>
          <w:szCs w:val="32"/>
        </w:rPr>
        <w:t>%；计量水费按照计价点实际售水量计收。</w:t>
      </w:r>
    </w:p>
    <w:p w14:paraId="4F4116A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（四）原则上新建成国有水利工程实行“新水新价”，价格调幅较大的，可分步调整到位。</w:t>
      </w:r>
    </w:p>
    <w:p w14:paraId="21C8FB8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（五）鼓励具备条件的水利工程，由供需双方协商确定价格或者通过招投标等公开公平竞争方式形成价格。</w:t>
      </w:r>
    </w:p>
    <w:p w14:paraId="146F9EA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第六条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各县（市）自然资源、农业农村、林草等部门负责完成土地性质分类统计工作；县、乡两级水管单位应当建立用水户供水台账，台账包含灌溉面积、土地性质、作物种类、供水量、水费计收标准、灌溉进度等内容，为科学合理配置水资源提供决策依据。</w:t>
      </w:r>
    </w:p>
    <w:p w14:paraId="680E218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第七条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二轮承包地、基本农田、种植小麦、牧草饲料及其他粮食作物的牧民定居饲草料地、村集体预留地、国有农林牧场等同类土地灌溉用水，应当予以优先保障。对政策执行过程中弄虚作假、虚报瞒报的单位和个人，依规严肃追责问责。</w:t>
      </w:r>
    </w:p>
    <w:p w14:paraId="518AA1C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第八条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各县（市）应当广泛开展水利法律法规、政策宣传，提升广大干部群众、用水户保护水资源、节约用水的自觉意识。</w:t>
      </w:r>
    </w:p>
    <w:p w14:paraId="051E7FB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第九条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分类水价。为保障自治州粮食安全，区分粮食作物、经济作物用水类型，在终端用水环节逐步推行分类水价。经济作物用水价格高于粮食作物用水价格，二者价差控制在</w:t>
      </w:r>
      <w:r>
        <w:rPr>
          <w:rFonts w:hint="default" w:ascii="Times New Roman" w:hAnsi="Times New Roman" w:eastAsia="宋体" w:cs="Times New Roman"/>
          <w:b w:val="0"/>
          <w:bCs/>
          <w:sz w:val="32"/>
          <w:szCs w:val="32"/>
        </w:rPr>
        <w:t>10</w:t>
      </w:r>
      <w:r>
        <w:rPr>
          <w:rFonts w:hint="eastAsia" w:ascii="方正仿宋_GBK" w:hAnsi="方正仿宋_GBK" w:eastAsia="方正仿宋_GBK" w:cs="方正仿宋_GBK"/>
          <w:b w:val="0"/>
          <w:bCs/>
          <w:sz w:val="32"/>
          <w:szCs w:val="32"/>
        </w:rPr>
        <w:t>%—</w:t>
      </w:r>
      <w:r>
        <w:rPr>
          <w:rFonts w:hint="default" w:ascii="Times New Roman" w:hAnsi="Times New Roman" w:eastAsia="宋体" w:cs="Times New Roman"/>
          <w:b w:val="0"/>
          <w:bCs/>
          <w:sz w:val="32"/>
          <w:szCs w:val="32"/>
        </w:rPr>
        <w:t>30</w:t>
      </w:r>
      <w:r>
        <w:rPr>
          <w:rFonts w:hint="eastAsia" w:ascii="方正仿宋_GBK" w:hAnsi="方正仿宋_GBK" w:eastAsia="方正仿宋_GBK" w:cs="方正仿宋_GBK"/>
          <w:b w:val="0"/>
          <w:bCs/>
          <w:sz w:val="32"/>
          <w:szCs w:val="32"/>
        </w:rPr>
        <w:t>%区间。</w:t>
      </w:r>
    </w:p>
    <w:p w14:paraId="083C2B1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分档水价。按照“多用水多付费”原则，在落实农业用水定额管理基础上，推行超定额累进加价制度：用水量超过定额不足</w:t>
      </w:r>
      <w:r>
        <w:rPr>
          <w:rFonts w:hint="default" w:ascii="Times New Roman" w:hAnsi="Times New Roman" w:eastAsia="宋体" w:cs="Times New Roman"/>
          <w:b w:val="0"/>
          <w:bCs/>
          <w:sz w:val="32"/>
          <w:szCs w:val="32"/>
        </w:rPr>
        <w:t>50</w:t>
      </w:r>
      <w:r>
        <w:rPr>
          <w:rFonts w:hint="eastAsia" w:ascii="方正仿宋_GBK" w:hAnsi="方正仿宋_GBK" w:eastAsia="方正仿宋_GBK" w:cs="方正仿宋_GBK"/>
          <w:b w:val="0"/>
          <w:bCs/>
          <w:sz w:val="32"/>
          <w:szCs w:val="32"/>
        </w:rPr>
        <w:t>%（含</w:t>
      </w:r>
      <w:r>
        <w:rPr>
          <w:rFonts w:hint="default" w:ascii="Times New Roman" w:hAnsi="Times New Roman" w:eastAsia="宋体" w:cs="Times New Roman"/>
          <w:b w:val="0"/>
          <w:bCs/>
          <w:sz w:val="32"/>
          <w:szCs w:val="32"/>
        </w:rPr>
        <w:t>50</w:t>
      </w:r>
      <w:r>
        <w:rPr>
          <w:rFonts w:hint="eastAsia" w:ascii="方正仿宋_GBK" w:hAnsi="方正仿宋_GBK" w:eastAsia="方正仿宋_GBK" w:cs="方正仿宋_GBK"/>
          <w:b w:val="0"/>
          <w:bCs/>
          <w:sz w:val="32"/>
          <w:szCs w:val="32"/>
        </w:rPr>
        <w:t>%）的，超定额部分按照规定价格的</w:t>
      </w:r>
      <w:r>
        <w:rPr>
          <w:rFonts w:hint="default" w:ascii="Times New Roman" w:hAnsi="Times New Roman" w:eastAsia="宋体" w:cs="Times New Roman"/>
          <w:b w:val="0"/>
          <w:bCs/>
          <w:sz w:val="32"/>
          <w:szCs w:val="32"/>
        </w:rPr>
        <w:t>1</w:t>
      </w:r>
      <w:r>
        <w:rPr>
          <w:rFonts w:hint="eastAsia" w:ascii="方正仿宋_GBK" w:hAnsi="方正仿宋_GBK" w:eastAsia="方正仿宋_GBK" w:cs="方正仿宋_GBK"/>
          <w:b w:val="0"/>
          <w:bCs/>
          <w:sz w:val="32"/>
          <w:szCs w:val="32"/>
        </w:rPr>
        <w:t>.</w:t>
      </w:r>
      <w:r>
        <w:rPr>
          <w:rFonts w:hint="default" w:ascii="Times New Roman" w:hAnsi="Times New Roman" w:eastAsia="宋体" w:cs="Times New Roman"/>
          <w:b w:val="0"/>
          <w:bCs/>
          <w:sz w:val="32"/>
          <w:szCs w:val="32"/>
        </w:rPr>
        <w:t>5</w:t>
      </w:r>
      <w:r>
        <w:rPr>
          <w:rFonts w:hint="eastAsia" w:ascii="方正仿宋_GBK" w:hAnsi="方正仿宋_GBK" w:eastAsia="方正仿宋_GBK" w:cs="方正仿宋_GBK"/>
          <w:b w:val="0"/>
          <w:bCs/>
          <w:sz w:val="32"/>
          <w:szCs w:val="32"/>
        </w:rPr>
        <w:t>倍计收；超过定额</w:t>
      </w:r>
      <w:r>
        <w:rPr>
          <w:rFonts w:hint="default" w:ascii="Times New Roman" w:hAnsi="Times New Roman" w:eastAsia="宋体" w:cs="Times New Roman"/>
          <w:b w:val="0"/>
          <w:bCs/>
          <w:sz w:val="32"/>
          <w:szCs w:val="32"/>
        </w:rPr>
        <w:t>50</w:t>
      </w:r>
      <w:r>
        <w:rPr>
          <w:rFonts w:hint="eastAsia" w:ascii="方正仿宋_GBK" w:hAnsi="方正仿宋_GBK" w:eastAsia="方正仿宋_GBK" w:cs="方正仿宋_GBK"/>
          <w:b w:val="0"/>
          <w:bCs/>
          <w:sz w:val="32"/>
          <w:szCs w:val="32"/>
        </w:rPr>
        <w:t>%不足</w:t>
      </w:r>
      <w:r>
        <w:rPr>
          <w:rFonts w:hint="default" w:ascii="Times New Roman" w:hAnsi="Times New Roman" w:eastAsia="宋体" w:cs="Times New Roman"/>
          <w:b w:val="0"/>
          <w:bCs/>
          <w:sz w:val="32"/>
          <w:szCs w:val="32"/>
        </w:rPr>
        <w:t>1</w:t>
      </w:r>
      <w:r>
        <w:rPr>
          <w:rFonts w:hint="eastAsia" w:ascii="方正仿宋_GBK" w:hAnsi="方正仿宋_GBK" w:eastAsia="方正仿宋_GBK" w:cs="方正仿宋_GBK"/>
          <w:b w:val="0"/>
          <w:bCs/>
          <w:sz w:val="32"/>
          <w:szCs w:val="32"/>
        </w:rPr>
        <w:t>倍（含</w:t>
      </w:r>
      <w:r>
        <w:rPr>
          <w:rFonts w:hint="default" w:ascii="Times New Roman" w:hAnsi="Times New Roman" w:eastAsia="宋体" w:cs="Times New Roman"/>
          <w:b w:val="0"/>
          <w:bCs/>
          <w:sz w:val="32"/>
          <w:szCs w:val="32"/>
        </w:rPr>
        <w:t>1</w:t>
      </w:r>
      <w:r>
        <w:rPr>
          <w:rFonts w:hint="eastAsia" w:ascii="方正仿宋_GBK" w:hAnsi="方正仿宋_GBK" w:eastAsia="方正仿宋_GBK" w:cs="方正仿宋_GBK"/>
          <w:b w:val="0"/>
          <w:bCs/>
          <w:sz w:val="32"/>
          <w:szCs w:val="32"/>
        </w:rPr>
        <w:t>倍）的，超定额部分按照规定价格的</w:t>
      </w:r>
      <w:r>
        <w:rPr>
          <w:rFonts w:hint="default" w:ascii="Times New Roman" w:hAnsi="Times New Roman" w:eastAsia="宋体" w:cs="Times New Roman"/>
          <w:b w:val="0"/>
          <w:bCs/>
          <w:sz w:val="32"/>
          <w:szCs w:val="32"/>
        </w:rPr>
        <w:t>2</w:t>
      </w:r>
      <w:r>
        <w:rPr>
          <w:rFonts w:hint="eastAsia" w:ascii="方正仿宋_GBK" w:hAnsi="方正仿宋_GBK" w:eastAsia="方正仿宋_GBK" w:cs="方正仿宋_GBK"/>
          <w:b w:val="0"/>
          <w:bCs/>
          <w:sz w:val="32"/>
          <w:szCs w:val="32"/>
        </w:rPr>
        <w:t>倍计收；超过定额</w:t>
      </w:r>
      <w:r>
        <w:rPr>
          <w:rFonts w:hint="default" w:ascii="Times New Roman" w:hAnsi="Times New Roman" w:eastAsia="宋体" w:cs="Times New Roman"/>
          <w:b w:val="0"/>
          <w:bCs/>
          <w:sz w:val="32"/>
          <w:szCs w:val="32"/>
        </w:rPr>
        <w:t>1</w:t>
      </w:r>
      <w:r>
        <w:rPr>
          <w:rFonts w:hint="eastAsia" w:ascii="方正仿宋_GBK" w:hAnsi="方正仿宋_GBK" w:eastAsia="方正仿宋_GBK" w:cs="方正仿宋_GBK"/>
          <w:b w:val="0"/>
          <w:bCs/>
          <w:sz w:val="32"/>
          <w:szCs w:val="32"/>
        </w:rPr>
        <w:t>倍以上的，超定额部分按照规定价格的</w:t>
      </w:r>
      <w:r>
        <w:rPr>
          <w:rFonts w:hint="default" w:ascii="Times New Roman" w:hAnsi="Times New Roman" w:eastAsia="宋体" w:cs="Times New Roman"/>
          <w:b w:val="0"/>
          <w:bCs/>
          <w:sz w:val="32"/>
          <w:szCs w:val="32"/>
        </w:rPr>
        <w:t>2</w:t>
      </w:r>
      <w:r>
        <w:rPr>
          <w:rFonts w:hint="eastAsia" w:ascii="方正仿宋_GBK" w:hAnsi="方正仿宋_GBK" w:eastAsia="方正仿宋_GBK" w:cs="方正仿宋_GBK"/>
          <w:b w:val="0"/>
          <w:bCs/>
          <w:sz w:val="32"/>
          <w:szCs w:val="32"/>
        </w:rPr>
        <w:t>.</w:t>
      </w:r>
      <w:r>
        <w:rPr>
          <w:rFonts w:hint="default" w:ascii="Times New Roman" w:hAnsi="Times New Roman" w:eastAsia="宋体" w:cs="Times New Roman"/>
          <w:b w:val="0"/>
          <w:bCs/>
          <w:sz w:val="32"/>
          <w:szCs w:val="32"/>
        </w:rPr>
        <w:t>5</w:t>
      </w:r>
      <w:r>
        <w:rPr>
          <w:rFonts w:hint="eastAsia" w:ascii="方正仿宋_GBK" w:hAnsi="方正仿宋_GBK" w:eastAsia="方正仿宋_GBK" w:cs="方正仿宋_GBK"/>
          <w:b w:val="0"/>
          <w:bCs/>
          <w:sz w:val="32"/>
          <w:szCs w:val="32"/>
        </w:rPr>
        <w:t>倍计收。</w:t>
      </w:r>
    </w:p>
    <w:p w14:paraId="08F116D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一）农业用水执行水价。对基本农田、农民二轮承包地、庭院、牧民定居饲草料地、村集体预留地、国有农林牧场等同类土地，以及各类依法取得土地开发权的土地，核定初始水权，定额内用水量按照分类水价计收水费，超定额部分执行累进加价收费。非法开发土地不予确认初始水权；用水户未经批准取水、擅自改变土地用途、非法开垦林地草地取用水利工程供水的，依照《中华人民共和国水法》有关规定处理。</w:t>
      </w:r>
    </w:p>
    <w:p w14:paraId="6477B5D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（二）高标准农田水价。各县（市）充分发挥高标准农田计量设施效能，按照“斗口计量水价×（</w:t>
      </w:r>
      <w:r>
        <w:rPr>
          <w:rFonts w:hint="default" w:ascii="Times New Roman" w:hAnsi="Times New Roman" w:eastAsia="宋体" w:cs="Times New Roman"/>
          <w:b w:val="0"/>
          <w:bCs/>
          <w:sz w:val="32"/>
          <w:szCs w:val="32"/>
        </w:rPr>
        <w:t>1</w:t>
      </w:r>
      <w:r>
        <w:rPr>
          <w:rFonts w:hint="eastAsia" w:ascii="方正仿宋_GBK" w:hAnsi="方正仿宋_GBK" w:eastAsia="方正仿宋_GBK" w:cs="方正仿宋_GBK"/>
          <w:b w:val="0"/>
          <w:bCs/>
          <w:sz w:val="32"/>
          <w:szCs w:val="32"/>
        </w:rPr>
        <w:t>+合理漏损率）”定价模式，探索制定高标准农田计量水价，引导用水户节约用水。</w:t>
      </w:r>
    </w:p>
    <w:p w14:paraId="22BC2A6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（三）水产养殖用水执行水价。水利工程供水用于水产养殖的，用水价格按照经济作物用水价格核定；利用水利工程水域开展养殖的，用水价格可按照效益分享原则确定。</w:t>
      </w:r>
    </w:p>
    <w:p w14:paraId="63F901D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（四）非农业用水执行水价。非农业用水指水利工程直接供给的除农业用水以外的其他用水。其中，消耗水按供水部分全部投资核定水价；贯流水按照消耗水用水价格的</w:t>
      </w:r>
      <w:r>
        <w:rPr>
          <w:rFonts w:hint="default" w:ascii="Times New Roman" w:hAnsi="Times New Roman" w:eastAsia="宋体" w:cs="Times New Roman"/>
          <w:b w:val="0"/>
          <w:bCs/>
          <w:sz w:val="32"/>
          <w:szCs w:val="32"/>
        </w:rPr>
        <w:t>30</w:t>
      </w:r>
      <w:r>
        <w:rPr>
          <w:rFonts w:hint="eastAsia" w:ascii="方正仿宋_GBK" w:hAnsi="方正仿宋_GBK" w:eastAsia="方正仿宋_GBK" w:cs="方正仿宋_GBK"/>
          <w:b w:val="0"/>
          <w:bCs/>
          <w:sz w:val="32"/>
          <w:szCs w:val="32"/>
        </w:rPr>
        <w:t>%—</w:t>
      </w:r>
      <w:r>
        <w:rPr>
          <w:rFonts w:hint="default" w:ascii="Times New Roman" w:hAnsi="Times New Roman" w:eastAsia="宋体" w:cs="Times New Roman"/>
          <w:b w:val="0"/>
          <w:bCs/>
          <w:sz w:val="32"/>
          <w:szCs w:val="32"/>
        </w:rPr>
        <w:t>50</w:t>
      </w:r>
      <w:r>
        <w:rPr>
          <w:rFonts w:hint="eastAsia" w:ascii="方正仿宋_GBK" w:hAnsi="方正仿宋_GBK" w:eastAsia="方正仿宋_GBK" w:cs="方正仿宋_GBK"/>
          <w:b w:val="0"/>
          <w:bCs/>
          <w:sz w:val="32"/>
          <w:szCs w:val="32"/>
        </w:rPr>
        <w:t>%核定；循环水按照消耗水用水价格的</w:t>
      </w:r>
      <w:r>
        <w:rPr>
          <w:rFonts w:hint="default" w:ascii="Times New Roman" w:hAnsi="Times New Roman" w:eastAsia="宋体" w:cs="Times New Roman"/>
          <w:b w:val="0"/>
          <w:bCs/>
          <w:sz w:val="32"/>
          <w:szCs w:val="32"/>
        </w:rPr>
        <w:t>15</w:t>
      </w:r>
      <w:r>
        <w:rPr>
          <w:rFonts w:hint="eastAsia" w:ascii="方正仿宋_GBK" w:hAnsi="方正仿宋_GBK" w:eastAsia="方正仿宋_GBK" w:cs="方正仿宋_GBK"/>
          <w:b w:val="0"/>
          <w:bCs/>
          <w:sz w:val="32"/>
          <w:szCs w:val="32"/>
        </w:rPr>
        <w:t>%—</w:t>
      </w:r>
      <w:r>
        <w:rPr>
          <w:rFonts w:hint="default" w:ascii="Times New Roman" w:hAnsi="Times New Roman" w:eastAsia="宋体" w:cs="Times New Roman"/>
          <w:b w:val="0"/>
          <w:bCs/>
          <w:sz w:val="32"/>
          <w:szCs w:val="32"/>
        </w:rPr>
        <w:t>25</w:t>
      </w:r>
      <w:r>
        <w:rPr>
          <w:rFonts w:hint="eastAsia" w:ascii="方正仿宋_GBK" w:hAnsi="方正仿宋_GBK" w:eastAsia="方正仿宋_GBK" w:cs="方正仿宋_GBK"/>
          <w:b w:val="0"/>
          <w:bCs/>
          <w:sz w:val="32"/>
          <w:szCs w:val="32"/>
        </w:rPr>
        <w:t>%核定；水力发电用水、生态用水价格由供需双方协商确定，生态用水价格参考供水成本协商。</w:t>
      </w:r>
    </w:p>
    <w:p w14:paraId="6901AA2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第十一条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水资源税征收标准执行《关于新疆维吾尔自治区水资源税改革试点有关事项的通知》（新财法税〔</w:t>
      </w:r>
      <w:r>
        <w:rPr>
          <w:rFonts w:hint="default" w:ascii="Times New Roman" w:hAnsi="Times New Roman" w:eastAsia="宋体" w:cs="Times New Roman"/>
          <w:b w:val="0"/>
          <w:bCs/>
          <w:sz w:val="32"/>
          <w:szCs w:val="32"/>
        </w:rPr>
        <w:t>2024</w:t>
      </w:r>
      <w:r>
        <w:rPr>
          <w:rFonts w:hint="eastAsia" w:ascii="方正仿宋_GBK" w:hAnsi="方正仿宋_GBK" w:eastAsia="方正仿宋_GBK" w:cs="方正仿宋_GBK"/>
          <w:b w:val="0"/>
          <w:bCs/>
          <w:sz w:val="32"/>
          <w:szCs w:val="32"/>
        </w:rPr>
        <w:t>〕</w:t>
      </w:r>
      <w:r>
        <w:rPr>
          <w:rFonts w:hint="default" w:ascii="Times New Roman" w:hAnsi="Times New Roman" w:eastAsia="宋体" w:cs="Times New Roman"/>
          <w:b w:val="0"/>
          <w:bCs/>
          <w:sz w:val="32"/>
          <w:szCs w:val="32"/>
        </w:rPr>
        <w:t>9</w:t>
      </w:r>
      <w:r>
        <w:rPr>
          <w:rFonts w:hint="eastAsia" w:ascii="方正仿宋_GBK" w:hAnsi="方正仿宋_GBK" w:eastAsia="方正仿宋_GBK" w:cs="方正仿宋_GBK"/>
          <w:b w:val="0"/>
          <w:bCs/>
          <w:sz w:val="32"/>
          <w:szCs w:val="32"/>
        </w:rPr>
        <w:t>号）、《关于自治区水资源税改革试点农业生产取用水限额有关事项的通知》（新水厅〔</w:t>
      </w:r>
      <w:r>
        <w:rPr>
          <w:rFonts w:hint="default" w:ascii="Times New Roman" w:hAnsi="Times New Roman" w:eastAsia="宋体" w:cs="Times New Roman"/>
          <w:b w:val="0"/>
          <w:bCs/>
          <w:sz w:val="32"/>
          <w:szCs w:val="32"/>
        </w:rPr>
        <w:t>2025</w:t>
      </w:r>
      <w:r>
        <w:rPr>
          <w:rFonts w:hint="eastAsia" w:ascii="方正仿宋_GBK" w:hAnsi="方正仿宋_GBK" w:eastAsia="方正仿宋_GBK" w:cs="方正仿宋_GBK"/>
          <w:b w:val="0"/>
          <w:bCs/>
          <w:sz w:val="32"/>
          <w:szCs w:val="32"/>
        </w:rPr>
        <w:t>〕</w:t>
      </w:r>
      <w:r>
        <w:rPr>
          <w:rFonts w:hint="default" w:ascii="Times New Roman" w:hAnsi="Times New Roman" w:eastAsia="宋体" w:cs="Times New Roman"/>
          <w:b w:val="0"/>
          <w:bCs/>
          <w:sz w:val="32"/>
          <w:szCs w:val="32"/>
        </w:rPr>
        <w:t>38</w:t>
      </w:r>
      <w:r>
        <w:rPr>
          <w:rFonts w:hint="eastAsia" w:ascii="方正仿宋_GBK" w:hAnsi="方正仿宋_GBK" w:eastAsia="方正仿宋_GBK" w:cs="方正仿宋_GBK"/>
          <w:b w:val="0"/>
          <w:bCs/>
          <w:sz w:val="32"/>
          <w:szCs w:val="32"/>
        </w:rPr>
        <w:t>号）规定。</w:t>
      </w:r>
    </w:p>
    <w:p w14:paraId="3E6B956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第十二条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国有水利工程供水以管理界线计量点作为计量基准，供水计量点以上输配水损失，不得转嫁给用水户承担。</w:t>
      </w:r>
    </w:p>
    <w:p w14:paraId="46441F1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（一）水利工程农业灌溉供水实行月统计、季分析、年总结结算。</w:t>
      </w:r>
    </w:p>
    <w:p w14:paraId="380FE4F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（二）水产养殖、工业企业等其他用水水费，由对应水管单位向用水户办理结算。</w:t>
      </w:r>
    </w:p>
    <w:p w14:paraId="16AFE40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第十三条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依据《自治州农业水价综合改革实施方案》及各县（市）财力状况兑付补贴、奖励资金，建立农业用水精准补贴机制与节水奖励机制。</w:t>
      </w:r>
    </w:p>
    <w:p w14:paraId="70DF2E2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第十四条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创新农业灌溉水费征缴结算模式，保障用水户明明白白用水、清清楚楚付费。具备条件的县（市），可通过优惠政策引导用水户预缴年度水费，实行多退少补；水费推行“线上+线下”多渠道缴纳，线上可通过手机</w:t>
      </w:r>
      <w:r>
        <w:rPr>
          <w:rFonts w:hint="eastAsia" w:ascii="宋体" w:hAnsi="宋体" w:eastAsia="宋体" w:cs="宋体"/>
          <w:b w:val="0"/>
          <w:bCs/>
          <w:sz w:val="32"/>
          <w:szCs w:val="32"/>
        </w:rPr>
        <w:t>APP</w:t>
      </w:r>
      <w:r>
        <w:rPr>
          <w:rFonts w:hint="eastAsia" w:ascii="方正仿宋_GBK" w:hAnsi="方正仿宋_GBK" w:eastAsia="方正仿宋_GBK" w:cs="方正仿宋_GBK"/>
          <w:b w:val="0"/>
          <w:bCs/>
          <w:sz w:val="32"/>
          <w:szCs w:val="32"/>
        </w:rPr>
        <w:t>、微信等渠道便捷缴费。水管单位收取水费，应当统一出具收费票据。</w:t>
      </w:r>
    </w:p>
    <w:p w14:paraId="585B3C7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第十五条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用水户应当及时足额缴纳水费，按照法律法规规定向国有水利工程供水单位提交用水申请、报送用水计划，约定水费缴纳期限以及违约责任，依照规定水量计量、水价标准按期缴纳水费；逾期不缴纳水费的，应当按照约定支付违约金。任何单位和个人不得擅自减免水费。</w:t>
      </w:r>
    </w:p>
    <w:p w14:paraId="481583A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第十六条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水管单位应当安排专项资金，推进供水计量、管理设施建设，加快供水自动化计量、分配水远程实时监控、结算信息公开等信息化建设，持续提升量水精度、配水透明度与供水服务水平。</w:t>
      </w:r>
    </w:p>
    <w:p w14:paraId="4C56042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第十七条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国有水利工程供水落实“以用水总量为依据，分水比例为基础，定额管理为标准”用水管理制度。各水管单位应当科学编制供水计划，做实做细供水服务，维护良好用水秩序。</w:t>
      </w:r>
    </w:p>
    <w:p w14:paraId="31BF2B8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第十八条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各县（市）水行政主管部门会同水管单位，依据《关于印发〈新疆维吾尔自治区农业用水定额〉的通知》（新水厅〔</w:t>
      </w:r>
      <w:r>
        <w:rPr>
          <w:rFonts w:hint="default" w:ascii="Times New Roman" w:hAnsi="Times New Roman" w:eastAsia="宋体" w:cs="Times New Roman"/>
          <w:b w:val="0"/>
          <w:bCs/>
          <w:sz w:val="32"/>
          <w:szCs w:val="32"/>
        </w:rPr>
        <w:t>2023</w:t>
      </w:r>
      <w:r>
        <w:rPr>
          <w:rFonts w:hint="eastAsia" w:ascii="方正仿宋_GBK" w:hAnsi="方正仿宋_GBK" w:eastAsia="方正仿宋_GBK" w:cs="方正仿宋_GBK"/>
          <w:b w:val="0"/>
          <w:bCs/>
          <w:sz w:val="32"/>
          <w:szCs w:val="32"/>
        </w:rPr>
        <w:t>〕</w:t>
      </w:r>
      <w:r>
        <w:rPr>
          <w:rFonts w:hint="default" w:ascii="Times New Roman" w:hAnsi="Times New Roman" w:eastAsia="宋体" w:cs="Times New Roman"/>
          <w:b w:val="0"/>
          <w:bCs/>
          <w:sz w:val="32"/>
          <w:szCs w:val="32"/>
        </w:rPr>
        <w:t>67</w:t>
      </w:r>
      <w:r>
        <w:rPr>
          <w:rFonts w:hint="eastAsia" w:ascii="方正仿宋_GBK" w:hAnsi="方正仿宋_GBK" w:eastAsia="方正仿宋_GBK" w:cs="方正仿宋_GBK"/>
          <w:b w:val="0"/>
          <w:bCs/>
          <w:sz w:val="32"/>
          <w:szCs w:val="32"/>
        </w:rPr>
        <w:t>号），科学修订本地灌溉定额指标，经自治州水行政主管部门审查后，报县（市）人民政府批准实施。</w:t>
      </w:r>
    </w:p>
    <w:p w14:paraId="0F0BE40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第十九条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国有水利工程供水水费属于水管单位生产经营性收入。水费支出严格执行国家财经纪律及各项财务制度，限定在规定开支范围和标准内管理使用，任何单位、个人不得截留、挪用。</w:t>
      </w:r>
    </w:p>
    <w:p w14:paraId="069CDF2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第二十条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因地制宜理顺县、乡、村三级水利服务体系，合理确定基层水利服务机构设置形式。各级水管单位应当从严管控人员规模、压缩管理成本，强化水利工程管护，保障水利工程安全运行。</w:t>
      </w:r>
    </w:p>
    <w:p w14:paraId="173F82B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第二十一条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各级发展改革、财政、审计、水利等部门，应当强化国有水利工程供水价格、水费征收及其使用管理的监督检查。</w:t>
      </w:r>
    </w:p>
    <w:p w14:paraId="2819B24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方正仿宋_GBK" w:hAnsi="方正仿宋_GBK" w:eastAsia="方正仿宋_GBK" w:cs="方正仿宋_GBK"/>
          <w:b w:val="0"/>
          <w:bCs/>
          <w:sz w:val="32"/>
          <w:szCs w:val="32"/>
        </w:rPr>
      </w:pPr>
      <w:r>
        <w:rPr>
          <w:rFonts w:hint="eastAsia" w:ascii="黑体" w:hAnsi="黑体" w:eastAsia="黑体" w:cs="黑体"/>
          <w:b w:val="0"/>
          <w:bCs/>
          <w:sz w:val="32"/>
          <w:szCs w:val="32"/>
        </w:rPr>
        <w:t>第二十二条</w:t>
      </w:r>
      <w:r>
        <w:rPr>
          <w:rFonts w:hint="eastAsia" w:ascii="黑体" w:hAnsi="黑体" w:eastAsia="黑体" w:cs="黑体"/>
          <w:b w:val="0"/>
          <w:bCs/>
          <w:sz w:val="32"/>
          <w:szCs w:val="32"/>
          <w:lang w:val="en-US" w:eastAsia="zh-CN"/>
        </w:rPr>
        <w:t xml:space="preserve">  </w:t>
      </w:r>
      <w:r>
        <w:rPr>
          <w:rFonts w:hint="eastAsia" w:ascii="方正仿宋_GBK" w:hAnsi="方正仿宋_GBK" w:eastAsia="方正仿宋_GBK" w:cs="方正仿宋_GBK"/>
          <w:b w:val="0"/>
          <w:bCs/>
          <w:sz w:val="32"/>
          <w:szCs w:val="32"/>
        </w:rPr>
        <w:t>本办法由自治州人民政府负责解释，具体解释工作由州水利局会同州直相关部门承担。</w:t>
      </w:r>
    </w:p>
    <w:p w14:paraId="0ECA670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黑体" w:hAnsi="黑体" w:eastAsia="黑体" w:cs="黑体"/>
          <w:b w:val="0"/>
          <w:bCs/>
          <w:sz w:val="32"/>
          <w:szCs w:val="32"/>
        </w:rPr>
        <w:t>第二十三条</w:t>
      </w:r>
      <w:r>
        <w:rPr>
          <w:rFonts w:hint="eastAsia" w:ascii="黑体" w:hAnsi="黑体" w:eastAsia="黑体" w:cs="黑体"/>
          <w:b w:val="0"/>
          <w:bCs/>
          <w:sz w:val="32"/>
          <w:szCs w:val="32"/>
          <w:lang w:val="en-US" w:eastAsia="zh-CN"/>
        </w:rPr>
        <w:t xml:space="preserve">  </w:t>
      </w:r>
      <w:r>
        <w:rPr>
          <w:rFonts w:hint="default" w:ascii="Times New Roman" w:hAnsi="Times New Roman" w:eastAsia="方正仿宋_GBK" w:cs="Times New Roman"/>
          <w:b w:val="0"/>
          <w:bCs/>
          <w:sz w:val="32"/>
          <w:szCs w:val="32"/>
        </w:rPr>
        <w:t>本办法</w:t>
      </w:r>
      <w:r>
        <w:rPr>
          <w:rFonts w:hint="default" w:ascii="Times New Roman" w:hAnsi="Times New Roman" w:eastAsia="仿宋_GB2312" w:cs="Times New Roman"/>
          <w:sz w:val="32"/>
          <w:szCs w:val="32"/>
          <w:lang w:eastAsia="zh-CN"/>
        </w:rPr>
        <w:t>自</w:t>
      </w:r>
      <w:r>
        <w:rPr>
          <w:rFonts w:hint="default" w:ascii="Times New Roman" w:hAnsi="Times New Roman" w:eastAsia="仿宋_GB2312" w:cs="Times New Roman"/>
          <w:sz w:val="32"/>
          <w:szCs w:val="32"/>
          <w:lang w:val="en-US" w:eastAsia="zh-CN"/>
        </w:rPr>
        <w:t>2026年10月2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日起正式</w:t>
      </w:r>
      <w:r>
        <w:rPr>
          <w:rFonts w:hint="default" w:ascii="Times New Roman" w:hAnsi="Times New Roman" w:eastAsia="仿宋_GB2312" w:cs="Times New Roman"/>
          <w:sz w:val="32"/>
          <w:szCs w:val="32"/>
          <w:lang w:eastAsia="zh-CN"/>
        </w:rPr>
        <w:t>施行</w:t>
      </w:r>
      <w:r>
        <w:rPr>
          <w:rFonts w:hint="default" w:ascii="Times New Roman" w:hAnsi="Times New Roman" w:eastAsia="方正仿宋_GBK" w:cs="Times New Roman"/>
          <w:b w:val="0"/>
          <w:bCs/>
          <w:sz w:val="32"/>
          <w:szCs w:val="32"/>
        </w:rPr>
        <w:t>，有效期</w:t>
      </w:r>
      <w:r>
        <w:rPr>
          <w:rFonts w:hint="default" w:ascii="Times New Roman" w:hAnsi="Times New Roman" w:eastAsia="宋体" w:cs="Times New Roman"/>
          <w:b w:val="0"/>
          <w:bCs/>
          <w:sz w:val="32"/>
          <w:szCs w:val="32"/>
        </w:rPr>
        <w:t>2</w:t>
      </w:r>
      <w:r>
        <w:rPr>
          <w:rFonts w:hint="default" w:ascii="Times New Roman" w:hAnsi="Times New Roman" w:eastAsia="方正仿宋_GBK" w:cs="Times New Roman"/>
          <w:b w:val="0"/>
          <w:bCs/>
          <w:sz w:val="32"/>
          <w:szCs w:val="32"/>
        </w:rPr>
        <w:t>年。实施期间，如遇国家、自治区政策调整，从其新规定执行。</w:t>
      </w:r>
    </w:p>
    <w:p w14:paraId="06038FF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仿宋_GB2312" w:cs="Times New Roman"/>
          <w:sz w:val="32"/>
          <w:szCs w:val="32"/>
          <w:lang w:val="en-US" w:eastAsia="zh-CN"/>
        </w:rPr>
      </w:pPr>
    </w:p>
    <w:p w14:paraId="5D03F1C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sz w:val="32"/>
          <w:szCs w:val="32"/>
          <w:lang w:val="en-US" w:eastAsia="zh-CN"/>
        </w:rPr>
      </w:pPr>
    </w:p>
    <w:p w14:paraId="37A987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sz w:val="32"/>
          <w:szCs w:val="32"/>
          <w:lang w:val="en-US" w:eastAsia="zh-CN"/>
        </w:rPr>
        <w:sectPr>
          <w:footerReference r:id="rId3" w:type="default"/>
          <w:pgSz w:w="11906" w:h="16838"/>
          <w:pgMar w:top="2098" w:right="1531" w:bottom="1984" w:left="1531" w:header="851" w:footer="1417" w:gutter="0"/>
          <w:pgNumType w:fmt="decimal"/>
          <w:cols w:space="720" w:num="1"/>
          <w:docGrid w:type="lines" w:linePitch="312" w:charSpace="0"/>
        </w:sectPr>
      </w:pPr>
    </w:p>
    <w:p w14:paraId="48DAB5DC">
      <w:pPr>
        <w:pStyle w:val="3"/>
        <w:spacing w:before="97" w:line="219" w:lineRule="auto"/>
        <w:rPr>
          <w:rFonts w:hint="eastAsia" w:ascii="Times New Roman" w:hAnsi="Times New Roman" w:eastAsia="方正黑体_GBK" w:cs="方正黑体_GBK"/>
          <w:sz w:val="32"/>
          <w:szCs w:val="32"/>
          <w:lang w:eastAsia="zh-CN"/>
        </w:rPr>
      </w:pPr>
      <w:r>
        <w:rPr>
          <w:rFonts w:hint="eastAsia" w:ascii="Times New Roman" w:hAnsi="Times New Roman" w:eastAsia="方正黑体_GBK" w:cs="方正黑体_GBK"/>
          <w:spacing w:val="26"/>
          <w:sz w:val="32"/>
          <w:szCs w:val="32"/>
        </w:rPr>
        <w:t>附</w:t>
      </w:r>
      <w:r>
        <w:rPr>
          <w:rFonts w:hint="eastAsia" w:ascii="Times New Roman" w:hAnsi="Times New Roman" w:eastAsia="方正黑体_GBK" w:cs="方正黑体_GBK"/>
          <w:spacing w:val="26"/>
          <w:sz w:val="32"/>
          <w:szCs w:val="32"/>
          <w:lang w:val="en-US" w:eastAsia="zh-CN"/>
        </w:rPr>
        <w:t xml:space="preserve"> </w:t>
      </w:r>
      <w:r>
        <w:rPr>
          <w:rFonts w:hint="eastAsia" w:ascii="Times New Roman" w:hAnsi="Times New Roman" w:eastAsia="方正黑体_GBK" w:cs="方正黑体_GBK"/>
          <w:spacing w:val="26"/>
          <w:sz w:val="32"/>
          <w:szCs w:val="32"/>
        </w:rPr>
        <w:t>件</w:t>
      </w:r>
    </w:p>
    <w:p w14:paraId="2AB3B1DB">
      <w:pPr>
        <w:pStyle w:val="3"/>
        <w:spacing w:before="65" w:line="218" w:lineRule="auto"/>
        <w:ind w:left="2704" w:firstLine="648" w:firstLineChars="200"/>
        <w:jc w:val="both"/>
        <w:rPr>
          <w:rFonts w:hint="eastAsia" w:ascii="Times New Roman" w:hAnsi="Times New Roman" w:eastAsia="方正小标宋_GBK" w:cs="方正小标宋_GBK"/>
          <w:sz w:val="35"/>
          <w:szCs w:val="35"/>
        </w:rPr>
      </w:pPr>
      <w:r>
        <w:rPr>
          <w:rFonts w:hint="eastAsia" w:ascii="Times New Roman" w:hAnsi="Times New Roman" w:eastAsia="方正小标宋_GBK" w:cs="方正小标宋_GBK"/>
          <w:spacing w:val="2"/>
          <w:sz w:val="32"/>
          <w:szCs w:val="32"/>
          <w:lang w:val="en-US" w:eastAsia="zh-CN"/>
        </w:rPr>
        <w:t>克州各县（市）</w:t>
      </w:r>
      <w:r>
        <w:rPr>
          <w:rFonts w:hint="eastAsia" w:ascii="Times New Roman" w:hAnsi="Times New Roman" w:eastAsia="方正小标宋_GBK" w:cs="方正小标宋_GBK"/>
          <w:spacing w:val="2"/>
          <w:sz w:val="32"/>
          <w:szCs w:val="32"/>
        </w:rPr>
        <w:t>国有水利工程地表水分类、分档价格表</w:t>
      </w:r>
    </w:p>
    <w:p w14:paraId="535538F4">
      <w:pPr>
        <w:pStyle w:val="3"/>
        <w:spacing w:before="135" w:line="219" w:lineRule="auto"/>
        <w:ind w:left="11535" w:firstLine="1008" w:firstLineChars="400"/>
        <w:rPr>
          <w:rFonts w:ascii="Times New Roman" w:hAnsi="Times New Roman"/>
          <w:sz w:val="25"/>
          <w:szCs w:val="25"/>
        </w:rPr>
      </w:pPr>
      <w:r>
        <w:rPr>
          <w:rFonts w:ascii="Times New Roman" w:hAnsi="Times New Roman"/>
          <w:spacing w:val="1"/>
          <w:sz w:val="25"/>
          <w:szCs w:val="25"/>
        </w:rPr>
        <w:t>单位：元</w:t>
      </w:r>
      <w:r>
        <w:rPr>
          <w:rFonts w:hint="eastAsia" w:ascii="Times New Roman" w:hAnsi="Times New Roman"/>
          <w:spacing w:val="1"/>
          <w:sz w:val="25"/>
          <w:szCs w:val="25"/>
          <w:lang w:val="en-US" w:eastAsia="zh-CN"/>
        </w:rPr>
        <w:t>/</w:t>
      </w:r>
      <w:r>
        <w:rPr>
          <w:rFonts w:ascii="Times New Roman" w:hAnsi="Times New Roman"/>
          <w:spacing w:val="1"/>
          <w:sz w:val="25"/>
          <w:szCs w:val="25"/>
        </w:rPr>
        <w:t>立方米</w:t>
      </w:r>
    </w:p>
    <w:p w14:paraId="16550811">
      <w:pPr>
        <w:spacing w:line="18" w:lineRule="exact"/>
        <w:rPr>
          <w:rFonts w:ascii="Times New Roman" w:hAnsi="Times New Roman"/>
        </w:rPr>
      </w:pPr>
    </w:p>
    <w:tbl>
      <w:tblPr>
        <w:tblStyle w:val="18"/>
        <w:tblW w:w="144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4"/>
        <w:gridCol w:w="990"/>
        <w:gridCol w:w="2880"/>
        <w:gridCol w:w="855"/>
        <w:gridCol w:w="795"/>
        <w:gridCol w:w="750"/>
        <w:gridCol w:w="720"/>
        <w:gridCol w:w="750"/>
        <w:gridCol w:w="795"/>
        <w:gridCol w:w="795"/>
        <w:gridCol w:w="765"/>
        <w:gridCol w:w="765"/>
        <w:gridCol w:w="825"/>
        <w:gridCol w:w="840"/>
        <w:gridCol w:w="810"/>
      </w:tblGrid>
      <w:tr w14:paraId="1EC67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5014" w:type="dxa"/>
            <w:gridSpan w:val="3"/>
            <w:noWrap w:val="0"/>
            <w:vAlign w:val="center"/>
          </w:tcPr>
          <w:p w14:paraId="64D04F11">
            <w:pPr>
              <w:keepNext w:val="0"/>
              <w:keepLines w:val="0"/>
              <w:widowControl/>
              <w:suppressLineNumbers w:val="0"/>
              <w:jc w:val="center"/>
              <w:textAlignment w:val="top"/>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 xml:space="preserve">项 </w:t>
            </w:r>
            <w:r>
              <w:rPr>
                <w:rStyle w:val="17"/>
                <w:rFonts w:ascii="Times New Roman" w:hAnsi="Times New Roman"/>
                <w:lang w:val="en-US" w:eastAsia="zh-CN" w:bidi="ar"/>
              </w:rPr>
              <w:t xml:space="preserve"> 目</w:t>
            </w:r>
          </w:p>
        </w:tc>
        <w:tc>
          <w:tcPr>
            <w:tcW w:w="9465" w:type="dxa"/>
            <w:gridSpan w:val="12"/>
            <w:noWrap w:val="0"/>
            <w:vAlign w:val="center"/>
          </w:tcPr>
          <w:p w14:paraId="764E5AB9">
            <w:pPr>
              <w:keepNext w:val="0"/>
              <w:keepLines w:val="0"/>
              <w:widowControl/>
              <w:suppressLineNumbers w:val="0"/>
              <w:jc w:val="center"/>
              <w:textAlignment w:val="top"/>
              <w:rPr>
                <w:rFonts w:hint="eastAsia" w:ascii="Times New Roman" w:hAnsi="Times New Roman"/>
                <w:lang w:val="en-US" w:eastAsia="zh-CN"/>
              </w:rPr>
            </w:pPr>
            <w:r>
              <w:rPr>
                <w:rFonts w:hint="eastAsia" w:ascii="Times New Roman" w:hAnsi="Times New Roman" w:eastAsia="宋体" w:cs="宋体"/>
                <w:i w:val="0"/>
                <w:iCs w:val="0"/>
                <w:color w:val="000000"/>
                <w:kern w:val="0"/>
                <w:sz w:val="20"/>
                <w:szCs w:val="20"/>
                <w:u w:val="none"/>
                <w:lang w:val="en-US" w:eastAsia="zh-CN" w:bidi="ar"/>
              </w:rPr>
              <w:t>各县（市）国有水利工程供水价格</w:t>
            </w:r>
          </w:p>
        </w:tc>
      </w:tr>
      <w:tr w14:paraId="45187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1144" w:type="dxa"/>
            <w:vMerge w:val="restart"/>
            <w:noWrap w:val="0"/>
            <w:vAlign w:val="center"/>
          </w:tcPr>
          <w:p w14:paraId="05CD82B3">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水价</w:t>
            </w:r>
          </w:p>
        </w:tc>
        <w:tc>
          <w:tcPr>
            <w:tcW w:w="990" w:type="dxa"/>
            <w:vMerge w:val="restart"/>
            <w:noWrap w:val="0"/>
            <w:vAlign w:val="center"/>
          </w:tcPr>
          <w:p w14:paraId="4B6FBBA8">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分类</w:t>
            </w:r>
          </w:p>
        </w:tc>
        <w:tc>
          <w:tcPr>
            <w:tcW w:w="2880" w:type="dxa"/>
            <w:vMerge w:val="restart"/>
            <w:noWrap w:val="0"/>
            <w:vAlign w:val="center"/>
          </w:tcPr>
          <w:p w14:paraId="1A83AC64">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分类、分档水价</w:t>
            </w:r>
          </w:p>
        </w:tc>
        <w:tc>
          <w:tcPr>
            <w:tcW w:w="2400" w:type="dxa"/>
            <w:gridSpan w:val="3"/>
            <w:noWrap w:val="0"/>
            <w:vAlign w:val="center"/>
          </w:tcPr>
          <w:p w14:paraId="18B08CD6">
            <w:pPr>
              <w:keepNext w:val="0"/>
              <w:keepLines w:val="0"/>
              <w:widowControl/>
              <w:suppressLineNumbers w:val="0"/>
              <w:jc w:val="center"/>
              <w:textAlignment w:val="top"/>
              <w:rPr>
                <w:rFonts w:hint="eastAsia"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阿图什市</w:t>
            </w:r>
          </w:p>
        </w:tc>
        <w:tc>
          <w:tcPr>
            <w:tcW w:w="2265" w:type="dxa"/>
            <w:gridSpan w:val="3"/>
            <w:noWrap w:val="0"/>
            <w:vAlign w:val="center"/>
          </w:tcPr>
          <w:p w14:paraId="5F08780B">
            <w:pPr>
              <w:keepNext w:val="0"/>
              <w:keepLines w:val="0"/>
              <w:widowControl/>
              <w:suppressLineNumbers w:val="0"/>
              <w:jc w:val="center"/>
              <w:textAlignment w:val="top"/>
              <w:rPr>
                <w:rFonts w:hint="eastAsia" w:ascii="Times New Roman" w:hAnsi="Times New Roman" w:eastAsia="宋体"/>
                <w:lang w:eastAsia="zh-CN"/>
              </w:rPr>
            </w:pPr>
            <w:r>
              <w:rPr>
                <w:rFonts w:hint="eastAsia" w:ascii="Times New Roman" w:hAnsi="Times New Roman" w:eastAsia="宋体" w:cs="宋体"/>
                <w:i w:val="0"/>
                <w:iCs w:val="0"/>
                <w:color w:val="000000"/>
                <w:kern w:val="0"/>
                <w:sz w:val="20"/>
                <w:szCs w:val="20"/>
                <w:u w:val="none"/>
                <w:lang w:val="en-US" w:eastAsia="zh-CN" w:bidi="ar"/>
              </w:rPr>
              <w:t>阿克陶县</w:t>
            </w:r>
          </w:p>
        </w:tc>
        <w:tc>
          <w:tcPr>
            <w:tcW w:w="2325" w:type="dxa"/>
            <w:gridSpan w:val="3"/>
            <w:noWrap w:val="0"/>
            <w:vAlign w:val="center"/>
          </w:tcPr>
          <w:p w14:paraId="34248F38">
            <w:pPr>
              <w:keepNext w:val="0"/>
              <w:keepLines w:val="0"/>
              <w:widowControl/>
              <w:suppressLineNumbers w:val="0"/>
              <w:jc w:val="center"/>
              <w:textAlignment w:val="top"/>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乌恰县</w:t>
            </w:r>
          </w:p>
        </w:tc>
        <w:tc>
          <w:tcPr>
            <w:tcW w:w="2475" w:type="dxa"/>
            <w:gridSpan w:val="3"/>
            <w:noWrap w:val="0"/>
            <w:vAlign w:val="center"/>
          </w:tcPr>
          <w:p w14:paraId="1B1D2155">
            <w:pPr>
              <w:keepNext w:val="0"/>
              <w:keepLines w:val="0"/>
              <w:widowControl/>
              <w:suppressLineNumbers w:val="0"/>
              <w:jc w:val="center"/>
              <w:textAlignment w:val="top"/>
              <w:rPr>
                <w:rFonts w:hint="eastAsia" w:ascii="Times New Roman" w:hAnsi="Times New Roman" w:eastAsia="宋体"/>
                <w:spacing w:val="-3"/>
                <w:lang w:val="en-US" w:eastAsia="zh-CN"/>
              </w:rPr>
            </w:pPr>
            <w:r>
              <w:rPr>
                <w:rFonts w:hint="eastAsia" w:ascii="Times New Roman" w:hAnsi="Times New Roman" w:eastAsia="宋体" w:cs="宋体"/>
                <w:i w:val="0"/>
                <w:iCs w:val="0"/>
                <w:color w:val="000000"/>
                <w:kern w:val="0"/>
                <w:sz w:val="20"/>
                <w:szCs w:val="20"/>
                <w:u w:val="none"/>
                <w:lang w:val="en-US" w:eastAsia="zh-CN" w:bidi="ar"/>
              </w:rPr>
              <w:t>阿合奇县</w:t>
            </w:r>
          </w:p>
        </w:tc>
      </w:tr>
      <w:tr w14:paraId="437CE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1144" w:type="dxa"/>
            <w:vMerge w:val="continue"/>
            <w:noWrap w:val="0"/>
            <w:vAlign w:val="center"/>
          </w:tcPr>
          <w:p w14:paraId="3F5E0CB8">
            <w:pPr>
              <w:jc w:val="center"/>
              <w:rPr>
                <w:rFonts w:ascii="Times New Roman" w:hAnsi="Times New Roman"/>
              </w:rPr>
            </w:pPr>
          </w:p>
        </w:tc>
        <w:tc>
          <w:tcPr>
            <w:tcW w:w="990" w:type="dxa"/>
            <w:vMerge w:val="continue"/>
            <w:noWrap w:val="0"/>
            <w:vAlign w:val="center"/>
          </w:tcPr>
          <w:p w14:paraId="329005F1">
            <w:pPr>
              <w:jc w:val="center"/>
              <w:rPr>
                <w:rFonts w:ascii="Times New Roman" w:hAnsi="Times New Roman"/>
              </w:rPr>
            </w:pPr>
          </w:p>
        </w:tc>
        <w:tc>
          <w:tcPr>
            <w:tcW w:w="2880" w:type="dxa"/>
            <w:vMerge w:val="continue"/>
            <w:noWrap w:val="0"/>
            <w:vAlign w:val="center"/>
          </w:tcPr>
          <w:p w14:paraId="6D52191C">
            <w:pPr>
              <w:jc w:val="center"/>
              <w:rPr>
                <w:rFonts w:ascii="Times New Roman" w:hAnsi="Times New Roman"/>
              </w:rPr>
            </w:pPr>
          </w:p>
        </w:tc>
        <w:tc>
          <w:tcPr>
            <w:tcW w:w="855" w:type="dxa"/>
            <w:noWrap w:val="0"/>
            <w:vAlign w:val="center"/>
          </w:tcPr>
          <w:p w14:paraId="7388C5DE">
            <w:pPr>
              <w:keepNext w:val="0"/>
              <w:keepLines w:val="0"/>
              <w:widowControl/>
              <w:suppressLineNumbers w:val="0"/>
              <w:jc w:val="center"/>
              <w:textAlignment w:val="top"/>
              <w:rPr>
                <w:rFonts w:hint="eastAsia" w:ascii="Times New Roman" w:hAnsi="Times New Roman" w:eastAsia="宋体" w:cs="宋体"/>
                <w:spacing w:val="-3"/>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国有水利工程供水价格</w:t>
            </w:r>
          </w:p>
        </w:tc>
        <w:tc>
          <w:tcPr>
            <w:tcW w:w="795" w:type="dxa"/>
            <w:noWrap w:val="0"/>
            <w:vAlign w:val="center"/>
          </w:tcPr>
          <w:p w14:paraId="437FDCC7">
            <w:pPr>
              <w:keepNext w:val="0"/>
              <w:keepLines w:val="0"/>
              <w:widowControl/>
              <w:suppressLineNumbers w:val="0"/>
              <w:jc w:val="center"/>
              <w:textAlignment w:val="top"/>
              <w:rPr>
                <w:rFonts w:hint="eastAsia" w:ascii="Times New Roman" w:hAnsi="Times New Roman" w:eastAsia="宋体" w:cs="宋体"/>
                <w:spacing w:val="-3"/>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末级渠系维护费</w:t>
            </w:r>
          </w:p>
        </w:tc>
        <w:tc>
          <w:tcPr>
            <w:tcW w:w="750" w:type="dxa"/>
            <w:noWrap w:val="0"/>
            <w:vAlign w:val="center"/>
          </w:tcPr>
          <w:p w14:paraId="5A37F063">
            <w:pPr>
              <w:keepNext w:val="0"/>
              <w:keepLines w:val="0"/>
              <w:widowControl/>
              <w:suppressLineNumbers w:val="0"/>
              <w:jc w:val="center"/>
              <w:textAlignment w:val="center"/>
              <w:rPr>
                <w:rFonts w:hint="eastAsia" w:ascii="Times New Roman" w:hAnsi="Times New Roman" w:eastAsia="宋体" w:cs="宋体"/>
                <w:spacing w:val="-3"/>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合计</w:t>
            </w:r>
          </w:p>
        </w:tc>
        <w:tc>
          <w:tcPr>
            <w:tcW w:w="720" w:type="dxa"/>
            <w:noWrap w:val="0"/>
            <w:vAlign w:val="center"/>
          </w:tcPr>
          <w:p w14:paraId="7A20241C">
            <w:pPr>
              <w:keepNext w:val="0"/>
              <w:keepLines w:val="0"/>
              <w:widowControl/>
              <w:suppressLineNumbers w:val="0"/>
              <w:jc w:val="center"/>
              <w:textAlignment w:val="top"/>
              <w:rPr>
                <w:rFonts w:hint="eastAsia" w:ascii="Times New Roman" w:hAnsi="Times New Roman" w:eastAsia="宋体" w:cs="宋体"/>
                <w:spacing w:val="-3"/>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国有水利工程供水价格</w:t>
            </w:r>
          </w:p>
        </w:tc>
        <w:tc>
          <w:tcPr>
            <w:tcW w:w="750" w:type="dxa"/>
            <w:noWrap w:val="0"/>
            <w:vAlign w:val="center"/>
          </w:tcPr>
          <w:p w14:paraId="0605C7A9">
            <w:pPr>
              <w:keepNext w:val="0"/>
              <w:keepLines w:val="0"/>
              <w:widowControl/>
              <w:suppressLineNumbers w:val="0"/>
              <w:jc w:val="center"/>
              <w:textAlignment w:val="top"/>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末级渠系维护费</w:t>
            </w:r>
          </w:p>
        </w:tc>
        <w:tc>
          <w:tcPr>
            <w:tcW w:w="795" w:type="dxa"/>
            <w:noWrap w:val="0"/>
            <w:vAlign w:val="center"/>
          </w:tcPr>
          <w:p w14:paraId="1BF81511">
            <w:pPr>
              <w:keepNext w:val="0"/>
              <w:keepLines w:val="0"/>
              <w:widowControl/>
              <w:suppressLineNumbers w:val="0"/>
              <w:jc w:val="center"/>
              <w:textAlignment w:val="center"/>
              <w:rPr>
                <w:rFonts w:hint="eastAsia" w:ascii="Times New Roman" w:hAnsi="Times New Roman" w:eastAsia="宋体" w:cs="宋体"/>
                <w:spacing w:val="-3"/>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合计</w:t>
            </w:r>
          </w:p>
        </w:tc>
        <w:tc>
          <w:tcPr>
            <w:tcW w:w="795" w:type="dxa"/>
            <w:noWrap w:val="0"/>
            <w:vAlign w:val="center"/>
          </w:tcPr>
          <w:p w14:paraId="7A6D625C">
            <w:pPr>
              <w:keepNext w:val="0"/>
              <w:keepLines w:val="0"/>
              <w:widowControl/>
              <w:suppressLineNumbers w:val="0"/>
              <w:jc w:val="center"/>
              <w:textAlignment w:val="top"/>
              <w:rPr>
                <w:rFonts w:hint="eastAsia" w:ascii="Times New Roman" w:hAnsi="Times New Roman"/>
                <w:spacing w:val="-3"/>
                <w:lang w:val="en-US" w:eastAsia="zh-CN"/>
              </w:rPr>
            </w:pPr>
            <w:r>
              <w:rPr>
                <w:rFonts w:hint="eastAsia" w:ascii="Times New Roman" w:hAnsi="Times New Roman" w:eastAsia="宋体" w:cs="宋体"/>
                <w:i w:val="0"/>
                <w:iCs w:val="0"/>
                <w:color w:val="000000"/>
                <w:kern w:val="0"/>
                <w:sz w:val="20"/>
                <w:szCs w:val="20"/>
                <w:u w:val="none"/>
                <w:lang w:val="en-US" w:eastAsia="zh-CN" w:bidi="ar"/>
              </w:rPr>
              <w:t>国有水利工程供水价格</w:t>
            </w:r>
          </w:p>
        </w:tc>
        <w:tc>
          <w:tcPr>
            <w:tcW w:w="765" w:type="dxa"/>
            <w:noWrap w:val="0"/>
            <w:vAlign w:val="center"/>
          </w:tcPr>
          <w:p w14:paraId="1BE2E400">
            <w:pPr>
              <w:keepNext w:val="0"/>
              <w:keepLines w:val="0"/>
              <w:widowControl/>
              <w:suppressLineNumbers w:val="0"/>
              <w:jc w:val="center"/>
              <w:textAlignment w:val="top"/>
              <w:rPr>
                <w:rFonts w:hint="eastAsia" w:ascii="Times New Roman" w:hAnsi="Times New Roman" w:eastAsia="宋体" w:cs="宋体"/>
                <w:spacing w:val="-3"/>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末级渠系维护费</w:t>
            </w:r>
          </w:p>
        </w:tc>
        <w:tc>
          <w:tcPr>
            <w:tcW w:w="765" w:type="dxa"/>
            <w:noWrap w:val="0"/>
            <w:vAlign w:val="center"/>
          </w:tcPr>
          <w:p w14:paraId="5C76C540">
            <w:pPr>
              <w:keepNext w:val="0"/>
              <w:keepLines w:val="0"/>
              <w:widowControl/>
              <w:suppressLineNumbers w:val="0"/>
              <w:jc w:val="center"/>
              <w:textAlignment w:val="center"/>
              <w:rPr>
                <w:rFonts w:hint="eastAsia" w:ascii="Times New Roman" w:hAnsi="Times New Roman" w:eastAsia="宋体" w:cs="宋体"/>
                <w:spacing w:val="-3"/>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合计</w:t>
            </w:r>
          </w:p>
        </w:tc>
        <w:tc>
          <w:tcPr>
            <w:tcW w:w="825" w:type="dxa"/>
            <w:noWrap w:val="0"/>
            <w:vAlign w:val="center"/>
          </w:tcPr>
          <w:p w14:paraId="7BC887BD">
            <w:pPr>
              <w:keepNext w:val="0"/>
              <w:keepLines w:val="0"/>
              <w:widowControl/>
              <w:suppressLineNumbers w:val="0"/>
              <w:jc w:val="center"/>
              <w:textAlignment w:val="top"/>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国有水利工程供水价格</w:t>
            </w:r>
          </w:p>
        </w:tc>
        <w:tc>
          <w:tcPr>
            <w:tcW w:w="840" w:type="dxa"/>
            <w:noWrap w:val="0"/>
            <w:vAlign w:val="center"/>
          </w:tcPr>
          <w:p w14:paraId="12B0B58C">
            <w:pPr>
              <w:keepNext w:val="0"/>
              <w:keepLines w:val="0"/>
              <w:widowControl/>
              <w:suppressLineNumbers w:val="0"/>
              <w:jc w:val="center"/>
              <w:textAlignment w:val="top"/>
              <w:rPr>
                <w:rFonts w:hint="eastAsia" w:ascii="Times New Roman" w:hAnsi="Times New Roman"/>
                <w:spacing w:val="-3"/>
                <w:lang w:val="en-US" w:eastAsia="zh-CN"/>
              </w:rPr>
            </w:pPr>
            <w:r>
              <w:rPr>
                <w:rFonts w:hint="eastAsia" w:ascii="Times New Roman" w:hAnsi="Times New Roman" w:eastAsia="宋体" w:cs="宋体"/>
                <w:i w:val="0"/>
                <w:iCs w:val="0"/>
                <w:color w:val="000000"/>
                <w:kern w:val="0"/>
                <w:sz w:val="20"/>
                <w:szCs w:val="20"/>
                <w:u w:val="none"/>
                <w:lang w:val="en-US" w:eastAsia="zh-CN" w:bidi="ar"/>
              </w:rPr>
              <w:t>末级渠系维护费</w:t>
            </w:r>
          </w:p>
        </w:tc>
        <w:tc>
          <w:tcPr>
            <w:tcW w:w="810" w:type="dxa"/>
            <w:noWrap w:val="0"/>
            <w:vAlign w:val="center"/>
          </w:tcPr>
          <w:p w14:paraId="448DEBC0">
            <w:pPr>
              <w:keepNext w:val="0"/>
              <w:keepLines w:val="0"/>
              <w:widowControl/>
              <w:suppressLineNumbers w:val="0"/>
              <w:jc w:val="center"/>
              <w:textAlignment w:val="center"/>
              <w:rPr>
                <w:rFonts w:hint="eastAsia" w:ascii="Times New Roman" w:hAnsi="Times New Roman"/>
                <w:spacing w:val="-3"/>
                <w:lang w:val="en-US" w:eastAsia="zh-CN"/>
              </w:rPr>
            </w:pPr>
            <w:r>
              <w:rPr>
                <w:rFonts w:hint="eastAsia" w:ascii="Times New Roman" w:hAnsi="Times New Roman" w:eastAsia="宋体" w:cs="宋体"/>
                <w:i w:val="0"/>
                <w:iCs w:val="0"/>
                <w:color w:val="000000"/>
                <w:kern w:val="0"/>
                <w:sz w:val="20"/>
                <w:szCs w:val="20"/>
                <w:u w:val="none"/>
                <w:lang w:val="en-US" w:eastAsia="zh-CN" w:bidi="ar"/>
              </w:rPr>
              <w:t>合计</w:t>
            </w:r>
          </w:p>
        </w:tc>
      </w:tr>
      <w:tr w14:paraId="3F802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jc w:val="center"/>
        </w:trPr>
        <w:tc>
          <w:tcPr>
            <w:tcW w:w="5014" w:type="dxa"/>
            <w:gridSpan w:val="3"/>
            <w:noWrap w:val="0"/>
            <w:vAlign w:val="center"/>
          </w:tcPr>
          <w:p w14:paraId="5A9B9506">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灌区完全成本水价</w:t>
            </w:r>
          </w:p>
        </w:tc>
        <w:tc>
          <w:tcPr>
            <w:tcW w:w="855" w:type="dxa"/>
            <w:noWrap w:val="0"/>
            <w:vAlign w:val="center"/>
          </w:tcPr>
          <w:p w14:paraId="0EF469F2">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0.085</w:t>
            </w:r>
          </w:p>
        </w:tc>
        <w:tc>
          <w:tcPr>
            <w:tcW w:w="795" w:type="dxa"/>
            <w:noWrap w:val="0"/>
            <w:vAlign w:val="center"/>
          </w:tcPr>
          <w:p w14:paraId="32D15D7F">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0.017</w:t>
            </w:r>
          </w:p>
        </w:tc>
        <w:tc>
          <w:tcPr>
            <w:tcW w:w="750" w:type="dxa"/>
            <w:noWrap w:val="0"/>
            <w:vAlign w:val="center"/>
          </w:tcPr>
          <w:p w14:paraId="427789CF">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0.102</w:t>
            </w:r>
          </w:p>
        </w:tc>
        <w:tc>
          <w:tcPr>
            <w:tcW w:w="720" w:type="dxa"/>
            <w:noWrap w:val="0"/>
            <w:vAlign w:val="center"/>
          </w:tcPr>
          <w:p w14:paraId="69F75AB2">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0.074</w:t>
            </w:r>
          </w:p>
        </w:tc>
        <w:tc>
          <w:tcPr>
            <w:tcW w:w="750" w:type="dxa"/>
            <w:noWrap w:val="0"/>
            <w:vAlign w:val="center"/>
          </w:tcPr>
          <w:p w14:paraId="0F70AE50">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0.007</w:t>
            </w:r>
          </w:p>
        </w:tc>
        <w:tc>
          <w:tcPr>
            <w:tcW w:w="795" w:type="dxa"/>
            <w:noWrap w:val="0"/>
            <w:vAlign w:val="center"/>
          </w:tcPr>
          <w:p w14:paraId="7CBC7617">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0.081</w:t>
            </w:r>
          </w:p>
        </w:tc>
        <w:tc>
          <w:tcPr>
            <w:tcW w:w="795" w:type="dxa"/>
            <w:noWrap w:val="0"/>
            <w:vAlign w:val="center"/>
          </w:tcPr>
          <w:p w14:paraId="46CDAC10">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0.0800</w:t>
            </w:r>
          </w:p>
        </w:tc>
        <w:tc>
          <w:tcPr>
            <w:tcW w:w="765" w:type="dxa"/>
            <w:noWrap w:val="0"/>
            <w:vAlign w:val="center"/>
          </w:tcPr>
          <w:p w14:paraId="2E4D4204">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0.0053</w:t>
            </w:r>
          </w:p>
        </w:tc>
        <w:tc>
          <w:tcPr>
            <w:tcW w:w="765" w:type="dxa"/>
            <w:noWrap w:val="0"/>
            <w:vAlign w:val="center"/>
          </w:tcPr>
          <w:p w14:paraId="3F64FF8A">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0.0853</w:t>
            </w:r>
          </w:p>
        </w:tc>
        <w:tc>
          <w:tcPr>
            <w:tcW w:w="825" w:type="dxa"/>
            <w:noWrap w:val="0"/>
            <w:vAlign w:val="center"/>
          </w:tcPr>
          <w:p w14:paraId="27713475">
            <w:pPr>
              <w:keepNext w:val="0"/>
              <w:keepLines w:val="0"/>
              <w:widowControl/>
              <w:suppressLineNumbers w:val="0"/>
              <w:jc w:val="center"/>
              <w:textAlignment w:val="center"/>
              <w:rPr>
                <w:rFonts w:hint="default" w:ascii="Times New Roman" w:hAnsi="Times New Roman"/>
                <w:lang w:val="en-US"/>
              </w:rPr>
            </w:pPr>
            <w:r>
              <w:rPr>
                <w:rFonts w:hint="eastAsia" w:ascii="Times New Roman" w:hAnsi="Times New Roman" w:eastAsia="宋体" w:cs="宋体"/>
                <w:i w:val="0"/>
                <w:iCs w:val="0"/>
                <w:color w:val="000000"/>
                <w:kern w:val="0"/>
                <w:sz w:val="20"/>
                <w:szCs w:val="20"/>
                <w:u w:val="none"/>
                <w:lang w:val="en-US" w:eastAsia="zh-CN" w:bidi="ar"/>
              </w:rPr>
              <w:t>0.080</w:t>
            </w:r>
          </w:p>
        </w:tc>
        <w:tc>
          <w:tcPr>
            <w:tcW w:w="840" w:type="dxa"/>
            <w:noWrap w:val="0"/>
            <w:vAlign w:val="center"/>
          </w:tcPr>
          <w:p w14:paraId="2360B260">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0.006</w:t>
            </w:r>
          </w:p>
        </w:tc>
        <w:tc>
          <w:tcPr>
            <w:tcW w:w="810" w:type="dxa"/>
            <w:noWrap w:val="0"/>
            <w:vAlign w:val="center"/>
          </w:tcPr>
          <w:p w14:paraId="2F3F70E9">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0.086</w:t>
            </w:r>
          </w:p>
        </w:tc>
      </w:tr>
      <w:tr w14:paraId="3E824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jc w:val="center"/>
        </w:trPr>
        <w:tc>
          <w:tcPr>
            <w:tcW w:w="1144" w:type="dxa"/>
            <w:vMerge w:val="restart"/>
            <w:tcBorders>
              <w:top w:val="single" w:color="auto" w:sz="4" w:space="0"/>
              <w:left w:val="single" w:color="auto" w:sz="4" w:space="0"/>
              <w:bottom w:val="nil"/>
            </w:tcBorders>
            <w:noWrap w:val="0"/>
            <w:vAlign w:val="center"/>
          </w:tcPr>
          <w:p w14:paraId="3D229668">
            <w:pPr>
              <w:keepNext w:val="0"/>
              <w:keepLines w:val="0"/>
              <w:widowControl/>
              <w:suppressLineNumbers w:val="0"/>
              <w:jc w:val="center"/>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农业用水</w:t>
            </w:r>
          </w:p>
          <w:p w14:paraId="5EFC964E">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价格</w:t>
            </w:r>
          </w:p>
        </w:tc>
        <w:tc>
          <w:tcPr>
            <w:tcW w:w="990" w:type="dxa"/>
            <w:vMerge w:val="restart"/>
            <w:tcBorders>
              <w:left w:val="single" w:color="auto" w:sz="4" w:space="0"/>
            </w:tcBorders>
            <w:noWrap w:val="0"/>
            <w:vAlign w:val="center"/>
          </w:tcPr>
          <w:p w14:paraId="0F56B417">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粮食作物（小麦）</w:t>
            </w:r>
          </w:p>
        </w:tc>
        <w:tc>
          <w:tcPr>
            <w:tcW w:w="2880" w:type="dxa"/>
            <w:tcBorders>
              <w:left w:val="single" w:color="auto" w:sz="4" w:space="0"/>
            </w:tcBorders>
            <w:noWrap w:val="0"/>
            <w:vAlign w:val="center"/>
          </w:tcPr>
          <w:p w14:paraId="6288DDA8">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执行完全成本价100%，同时执行超定额累进</w:t>
            </w:r>
            <w:r>
              <w:rPr>
                <w:rStyle w:val="17"/>
                <w:rFonts w:ascii="Times New Roman" w:hAnsi="Times New Roman"/>
                <w:lang w:val="en-US" w:eastAsia="zh-CN" w:bidi="ar"/>
              </w:rPr>
              <w:t>加价收费制度。</w:t>
            </w:r>
          </w:p>
        </w:tc>
        <w:tc>
          <w:tcPr>
            <w:tcW w:w="855" w:type="dxa"/>
            <w:noWrap w:val="0"/>
            <w:vAlign w:val="center"/>
          </w:tcPr>
          <w:p w14:paraId="73B30731">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0.085</w:t>
            </w:r>
          </w:p>
        </w:tc>
        <w:tc>
          <w:tcPr>
            <w:tcW w:w="795" w:type="dxa"/>
            <w:noWrap w:val="0"/>
            <w:vAlign w:val="center"/>
          </w:tcPr>
          <w:p w14:paraId="2840745F">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0.017</w:t>
            </w:r>
          </w:p>
        </w:tc>
        <w:tc>
          <w:tcPr>
            <w:tcW w:w="750" w:type="dxa"/>
            <w:noWrap w:val="0"/>
            <w:vAlign w:val="center"/>
          </w:tcPr>
          <w:p w14:paraId="7016EE64">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0.102</w:t>
            </w:r>
          </w:p>
        </w:tc>
        <w:tc>
          <w:tcPr>
            <w:tcW w:w="720" w:type="dxa"/>
            <w:noWrap w:val="0"/>
            <w:vAlign w:val="center"/>
          </w:tcPr>
          <w:p w14:paraId="0BCC8B03">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0.074</w:t>
            </w:r>
          </w:p>
        </w:tc>
        <w:tc>
          <w:tcPr>
            <w:tcW w:w="750" w:type="dxa"/>
            <w:noWrap w:val="0"/>
            <w:vAlign w:val="center"/>
          </w:tcPr>
          <w:p w14:paraId="29D63BBD">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0.007</w:t>
            </w:r>
          </w:p>
        </w:tc>
        <w:tc>
          <w:tcPr>
            <w:tcW w:w="795" w:type="dxa"/>
            <w:noWrap w:val="0"/>
            <w:vAlign w:val="center"/>
          </w:tcPr>
          <w:p w14:paraId="4B07A2AF">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0.081</w:t>
            </w:r>
          </w:p>
        </w:tc>
        <w:tc>
          <w:tcPr>
            <w:tcW w:w="795" w:type="dxa"/>
            <w:noWrap w:val="0"/>
            <w:vAlign w:val="center"/>
          </w:tcPr>
          <w:p w14:paraId="245C8321">
            <w:pPr>
              <w:keepNext w:val="0"/>
              <w:keepLines w:val="0"/>
              <w:widowControl/>
              <w:suppressLineNumbers w:val="0"/>
              <w:jc w:val="center"/>
              <w:textAlignment w:val="center"/>
              <w:rPr>
                <w:rFonts w:hint="default" w:ascii="Times New Roman" w:hAnsi="Times New Roman"/>
                <w:lang w:val="en-US"/>
              </w:rPr>
            </w:pPr>
            <w:r>
              <w:rPr>
                <w:rFonts w:hint="eastAsia" w:ascii="Times New Roman" w:hAnsi="Times New Roman" w:eastAsia="宋体" w:cs="宋体"/>
                <w:i w:val="0"/>
                <w:iCs w:val="0"/>
                <w:color w:val="000000"/>
                <w:kern w:val="0"/>
                <w:sz w:val="20"/>
                <w:szCs w:val="20"/>
                <w:u w:val="none"/>
                <w:lang w:val="en-US" w:eastAsia="zh-CN" w:bidi="ar"/>
              </w:rPr>
              <w:t>0.0800</w:t>
            </w:r>
          </w:p>
        </w:tc>
        <w:tc>
          <w:tcPr>
            <w:tcW w:w="765" w:type="dxa"/>
            <w:noWrap w:val="0"/>
            <w:vAlign w:val="center"/>
          </w:tcPr>
          <w:p w14:paraId="1C46C825">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0.0053</w:t>
            </w:r>
          </w:p>
        </w:tc>
        <w:tc>
          <w:tcPr>
            <w:tcW w:w="765" w:type="dxa"/>
            <w:noWrap w:val="0"/>
            <w:vAlign w:val="center"/>
          </w:tcPr>
          <w:p w14:paraId="21E9A061">
            <w:pPr>
              <w:keepNext w:val="0"/>
              <w:keepLines w:val="0"/>
              <w:widowControl/>
              <w:suppressLineNumbers w:val="0"/>
              <w:jc w:val="center"/>
              <w:textAlignment w:val="center"/>
              <w:rPr>
                <w:rFonts w:hint="eastAsia"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0.0853</w:t>
            </w:r>
          </w:p>
        </w:tc>
        <w:tc>
          <w:tcPr>
            <w:tcW w:w="825" w:type="dxa"/>
            <w:noWrap w:val="0"/>
            <w:vAlign w:val="center"/>
          </w:tcPr>
          <w:p w14:paraId="42A85248">
            <w:pPr>
              <w:keepNext w:val="0"/>
              <w:keepLines w:val="0"/>
              <w:widowControl/>
              <w:suppressLineNumbers w:val="0"/>
              <w:jc w:val="center"/>
              <w:textAlignment w:val="center"/>
              <w:rPr>
                <w:rFonts w:hint="default" w:ascii="Times New Roman" w:hAnsi="Times New Roman"/>
                <w:lang w:val="en-US"/>
              </w:rPr>
            </w:pPr>
            <w:r>
              <w:rPr>
                <w:rFonts w:hint="eastAsia" w:ascii="Times New Roman" w:hAnsi="Times New Roman" w:eastAsia="宋体" w:cs="宋体"/>
                <w:i w:val="0"/>
                <w:iCs w:val="0"/>
                <w:color w:val="000000"/>
                <w:kern w:val="0"/>
                <w:sz w:val="20"/>
                <w:szCs w:val="20"/>
                <w:u w:val="none"/>
                <w:lang w:val="en-US" w:eastAsia="zh-CN" w:bidi="ar"/>
              </w:rPr>
              <w:t>0.080</w:t>
            </w:r>
          </w:p>
        </w:tc>
        <w:tc>
          <w:tcPr>
            <w:tcW w:w="840" w:type="dxa"/>
            <w:noWrap w:val="0"/>
            <w:vAlign w:val="center"/>
          </w:tcPr>
          <w:p w14:paraId="4D8CF0BB">
            <w:pPr>
              <w:keepNext w:val="0"/>
              <w:keepLines w:val="0"/>
              <w:widowControl/>
              <w:suppressLineNumbers w:val="0"/>
              <w:jc w:val="center"/>
              <w:textAlignment w:val="center"/>
              <w:rPr>
                <w:rFonts w:hint="default" w:ascii="Times New Roman" w:hAnsi="Times New Roman"/>
                <w:spacing w:val="-2"/>
                <w:lang w:val="en-US"/>
              </w:rPr>
            </w:pPr>
            <w:r>
              <w:rPr>
                <w:rFonts w:hint="eastAsia" w:ascii="Times New Roman" w:hAnsi="Times New Roman" w:eastAsia="宋体" w:cs="宋体"/>
                <w:i w:val="0"/>
                <w:iCs w:val="0"/>
                <w:color w:val="000000"/>
                <w:kern w:val="0"/>
                <w:sz w:val="20"/>
                <w:szCs w:val="20"/>
                <w:u w:val="none"/>
                <w:lang w:val="en-US" w:eastAsia="zh-CN" w:bidi="ar"/>
              </w:rPr>
              <w:t>0.006</w:t>
            </w:r>
          </w:p>
        </w:tc>
        <w:tc>
          <w:tcPr>
            <w:tcW w:w="810" w:type="dxa"/>
            <w:noWrap w:val="0"/>
            <w:vAlign w:val="center"/>
          </w:tcPr>
          <w:p w14:paraId="48488FE0">
            <w:pPr>
              <w:keepNext w:val="0"/>
              <w:keepLines w:val="0"/>
              <w:widowControl/>
              <w:suppressLineNumbers w:val="0"/>
              <w:jc w:val="center"/>
              <w:textAlignment w:val="center"/>
              <w:rPr>
                <w:rFonts w:hint="default"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0.086</w:t>
            </w:r>
          </w:p>
        </w:tc>
      </w:tr>
      <w:tr w14:paraId="3DAA4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jc w:val="center"/>
        </w:trPr>
        <w:tc>
          <w:tcPr>
            <w:tcW w:w="1144" w:type="dxa"/>
            <w:vMerge w:val="continue"/>
            <w:tcBorders>
              <w:top w:val="nil"/>
              <w:left w:val="single" w:color="auto" w:sz="4" w:space="0"/>
              <w:bottom w:val="nil"/>
            </w:tcBorders>
            <w:noWrap w:val="0"/>
            <w:vAlign w:val="center"/>
          </w:tcPr>
          <w:p w14:paraId="2FDD4DE3">
            <w:pPr>
              <w:jc w:val="center"/>
              <w:rPr>
                <w:rFonts w:ascii="Times New Roman" w:hAnsi="Times New Roman"/>
                <w:sz w:val="21"/>
              </w:rPr>
            </w:pPr>
          </w:p>
        </w:tc>
        <w:tc>
          <w:tcPr>
            <w:tcW w:w="990" w:type="dxa"/>
            <w:vMerge w:val="continue"/>
            <w:tcBorders>
              <w:left w:val="single" w:color="auto" w:sz="4" w:space="0"/>
            </w:tcBorders>
            <w:noWrap w:val="0"/>
            <w:vAlign w:val="center"/>
          </w:tcPr>
          <w:p w14:paraId="25C2DE8B">
            <w:pPr>
              <w:jc w:val="center"/>
              <w:rPr>
                <w:rFonts w:ascii="Times New Roman" w:hAnsi="Times New Roman"/>
              </w:rPr>
            </w:pPr>
          </w:p>
        </w:tc>
        <w:tc>
          <w:tcPr>
            <w:tcW w:w="2880" w:type="dxa"/>
            <w:tcBorders>
              <w:left w:val="single" w:color="auto" w:sz="4" w:space="0"/>
            </w:tcBorders>
            <w:noWrap w:val="0"/>
            <w:vAlign w:val="center"/>
          </w:tcPr>
          <w:p w14:paraId="602CF6A5">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超定额不足50%(含本数),超过部分按分类水价</w:t>
            </w:r>
            <w:r>
              <w:rPr>
                <w:rStyle w:val="17"/>
                <w:rFonts w:ascii="Times New Roman" w:hAnsi="Times New Roman"/>
                <w:lang w:val="en-US" w:eastAsia="zh-CN" w:bidi="ar"/>
              </w:rPr>
              <w:t>的1.5倍计收。</w:t>
            </w:r>
          </w:p>
        </w:tc>
        <w:tc>
          <w:tcPr>
            <w:tcW w:w="855" w:type="dxa"/>
            <w:noWrap w:val="0"/>
            <w:vAlign w:val="center"/>
          </w:tcPr>
          <w:p w14:paraId="2BAD266A">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0.127</w:t>
            </w:r>
          </w:p>
        </w:tc>
        <w:tc>
          <w:tcPr>
            <w:tcW w:w="795" w:type="dxa"/>
            <w:noWrap w:val="0"/>
            <w:vAlign w:val="center"/>
          </w:tcPr>
          <w:p w14:paraId="18C7A82F">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0.017</w:t>
            </w:r>
          </w:p>
        </w:tc>
        <w:tc>
          <w:tcPr>
            <w:tcW w:w="750" w:type="dxa"/>
            <w:noWrap w:val="0"/>
            <w:vAlign w:val="center"/>
          </w:tcPr>
          <w:p w14:paraId="7A017BD5">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0.144</w:t>
            </w:r>
          </w:p>
        </w:tc>
        <w:tc>
          <w:tcPr>
            <w:tcW w:w="720" w:type="dxa"/>
            <w:noWrap w:val="0"/>
            <w:vAlign w:val="center"/>
          </w:tcPr>
          <w:p w14:paraId="361177D0">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0.111</w:t>
            </w:r>
          </w:p>
        </w:tc>
        <w:tc>
          <w:tcPr>
            <w:tcW w:w="750" w:type="dxa"/>
            <w:noWrap w:val="0"/>
            <w:vAlign w:val="center"/>
          </w:tcPr>
          <w:p w14:paraId="23E9385B">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0.007</w:t>
            </w:r>
          </w:p>
        </w:tc>
        <w:tc>
          <w:tcPr>
            <w:tcW w:w="795" w:type="dxa"/>
            <w:noWrap w:val="0"/>
            <w:vAlign w:val="center"/>
          </w:tcPr>
          <w:p w14:paraId="0669DDF7">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0.118</w:t>
            </w:r>
          </w:p>
        </w:tc>
        <w:tc>
          <w:tcPr>
            <w:tcW w:w="795" w:type="dxa"/>
            <w:noWrap w:val="0"/>
            <w:vAlign w:val="center"/>
          </w:tcPr>
          <w:p w14:paraId="5AA59354">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0.1227</w:t>
            </w:r>
          </w:p>
        </w:tc>
        <w:tc>
          <w:tcPr>
            <w:tcW w:w="765" w:type="dxa"/>
            <w:noWrap w:val="0"/>
            <w:vAlign w:val="center"/>
          </w:tcPr>
          <w:p w14:paraId="3A0F7429">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0.0053</w:t>
            </w:r>
          </w:p>
        </w:tc>
        <w:tc>
          <w:tcPr>
            <w:tcW w:w="765" w:type="dxa"/>
            <w:noWrap w:val="0"/>
            <w:vAlign w:val="center"/>
          </w:tcPr>
          <w:p w14:paraId="0BBF2268">
            <w:pPr>
              <w:keepNext w:val="0"/>
              <w:keepLines w:val="0"/>
              <w:widowControl/>
              <w:suppressLineNumbers w:val="0"/>
              <w:jc w:val="center"/>
              <w:textAlignment w:val="center"/>
              <w:rPr>
                <w:rFonts w:hint="default"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0.1280</w:t>
            </w:r>
          </w:p>
        </w:tc>
        <w:tc>
          <w:tcPr>
            <w:tcW w:w="825" w:type="dxa"/>
            <w:noWrap w:val="0"/>
            <w:vAlign w:val="center"/>
          </w:tcPr>
          <w:p w14:paraId="4326D343">
            <w:pPr>
              <w:keepNext w:val="0"/>
              <w:keepLines w:val="0"/>
              <w:widowControl/>
              <w:suppressLineNumbers w:val="0"/>
              <w:jc w:val="center"/>
              <w:textAlignment w:val="center"/>
              <w:rPr>
                <w:rFonts w:hint="default" w:ascii="Times New Roman" w:hAnsi="Times New Roman"/>
                <w:lang w:val="en-US"/>
              </w:rPr>
            </w:pPr>
            <w:r>
              <w:rPr>
                <w:rFonts w:hint="eastAsia" w:ascii="Times New Roman" w:hAnsi="Times New Roman" w:eastAsia="宋体" w:cs="宋体"/>
                <w:i w:val="0"/>
                <w:iCs w:val="0"/>
                <w:color w:val="000000"/>
                <w:kern w:val="0"/>
                <w:sz w:val="20"/>
                <w:szCs w:val="20"/>
                <w:u w:val="none"/>
                <w:lang w:val="en-US" w:eastAsia="zh-CN" w:bidi="ar"/>
              </w:rPr>
              <w:t>0.120</w:t>
            </w:r>
          </w:p>
        </w:tc>
        <w:tc>
          <w:tcPr>
            <w:tcW w:w="840" w:type="dxa"/>
            <w:noWrap w:val="0"/>
            <w:vAlign w:val="center"/>
          </w:tcPr>
          <w:p w14:paraId="774DC296">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0.006</w:t>
            </w:r>
          </w:p>
        </w:tc>
        <w:tc>
          <w:tcPr>
            <w:tcW w:w="810" w:type="dxa"/>
            <w:noWrap w:val="0"/>
            <w:vAlign w:val="center"/>
          </w:tcPr>
          <w:p w14:paraId="0FCA371C">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0.126</w:t>
            </w:r>
          </w:p>
        </w:tc>
      </w:tr>
      <w:tr w14:paraId="076CA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jc w:val="center"/>
        </w:trPr>
        <w:tc>
          <w:tcPr>
            <w:tcW w:w="1144" w:type="dxa"/>
            <w:vMerge w:val="continue"/>
            <w:tcBorders>
              <w:top w:val="nil"/>
              <w:left w:val="single" w:color="auto" w:sz="4" w:space="0"/>
              <w:bottom w:val="nil"/>
            </w:tcBorders>
            <w:noWrap w:val="0"/>
            <w:vAlign w:val="center"/>
          </w:tcPr>
          <w:p w14:paraId="4CC19D1A">
            <w:pPr>
              <w:jc w:val="center"/>
              <w:rPr>
                <w:rFonts w:ascii="Times New Roman" w:hAnsi="Times New Roman"/>
                <w:sz w:val="21"/>
              </w:rPr>
            </w:pPr>
          </w:p>
        </w:tc>
        <w:tc>
          <w:tcPr>
            <w:tcW w:w="990" w:type="dxa"/>
            <w:vMerge w:val="continue"/>
            <w:tcBorders>
              <w:left w:val="single" w:color="auto" w:sz="4" w:space="0"/>
            </w:tcBorders>
            <w:noWrap w:val="0"/>
            <w:vAlign w:val="center"/>
          </w:tcPr>
          <w:p w14:paraId="11F3BA28">
            <w:pPr>
              <w:jc w:val="center"/>
              <w:rPr>
                <w:rFonts w:ascii="Times New Roman" w:hAnsi="Times New Roman"/>
              </w:rPr>
            </w:pPr>
          </w:p>
        </w:tc>
        <w:tc>
          <w:tcPr>
            <w:tcW w:w="2880" w:type="dxa"/>
            <w:tcBorders>
              <w:left w:val="single" w:color="auto" w:sz="4" w:space="0"/>
            </w:tcBorders>
            <w:noWrap w:val="0"/>
            <w:vAlign w:val="center"/>
          </w:tcPr>
          <w:p w14:paraId="54C9D633">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超定额50%至1倍(含本数)的部分，按分类水价</w:t>
            </w:r>
            <w:r>
              <w:rPr>
                <w:rStyle w:val="17"/>
                <w:rFonts w:ascii="Times New Roman" w:hAnsi="Times New Roman"/>
                <w:lang w:val="en-US" w:eastAsia="zh-CN" w:bidi="ar"/>
              </w:rPr>
              <w:t>的2倍计收。</w:t>
            </w:r>
          </w:p>
        </w:tc>
        <w:tc>
          <w:tcPr>
            <w:tcW w:w="855" w:type="dxa"/>
            <w:noWrap w:val="0"/>
            <w:vAlign w:val="center"/>
          </w:tcPr>
          <w:p w14:paraId="1BBE9CDE">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0.170</w:t>
            </w:r>
          </w:p>
        </w:tc>
        <w:tc>
          <w:tcPr>
            <w:tcW w:w="795" w:type="dxa"/>
            <w:noWrap w:val="0"/>
            <w:vAlign w:val="center"/>
          </w:tcPr>
          <w:p w14:paraId="406E9FAD">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0.017</w:t>
            </w:r>
          </w:p>
        </w:tc>
        <w:tc>
          <w:tcPr>
            <w:tcW w:w="750" w:type="dxa"/>
            <w:noWrap w:val="0"/>
            <w:vAlign w:val="center"/>
          </w:tcPr>
          <w:p w14:paraId="07FFFE0E">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0.187</w:t>
            </w:r>
          </w:p>
        </w:tc>
        <w:tc>
          <w:tcPr>
            <w:tcW w:w="720" w:type="dxa"/>
            <w:noWrap w:val="0"/>
            <w:vAlign w:val="center"/>
          </w:tcPr>
          <w:p w14:paraId="317D1DEC">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0.148</w:t>
            </w:r>
          </w:p>
        </w:tc>
        <w:tc>
          <w:tcPr>
            <w:tcW w:w="750" w:type="dxa"/>
            <w:noWrap w:val="0"/>
            <w:vAlign w:val="center"/>
          </w:tcPr>
          <w:p w14:paraId="6D9D7F50">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0.007</w:t>
            </w:r>
          </w:p>
        </w:tc>
        <w:tc>
          <w:tcPr>
            <w:tcW w:w="795" w:type="dxa"/>
            <w:noWrap w:val="0"/>
            <w:vAlign w:val="center"/>
          </w:tcPr>
          <w:p w14:paraId="63F3094A">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0.155</w:t>
            </w:r>
          </w:p>
        </w:tc>
        <w:tc>
          <w:tcPr>
            <w:tcW w:w="795" w:type="dxa"/>
            <w:noWrap w:val="0"/>
            <w:vAlign w:val="center"/>
          </w:tcPr>
          <w:p w14:paraId="164B06C7">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0.1647</w:t>
            </w:r>
          </w:p>
        </w:tc>
        <w:tc>
          <w:tcPr>
            <w:tcW w:w="765" w:type="dxa"/>
            <w:noWrap w:val="0"/>
            <w:vAlign w:val="center"/>
          </w:tcPr>
          <w:p w14:paraId="1181C398">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0.0053</w:t>
            </w:r>
          </w:p>
        </w:tc>
        <w:tc>
          <w:tcPr>
            <w:tcW w:w="765" w:type="dxa"/>
            <w:noWrap w:val="0"/>
            <w:vAlign w:val="center"/>
          </w:tcPr>
          <w:p w14:paraId="3C1F5320">
            <w:pPr>
              <w:keepNext w:val="0"/>
              <w:keepLines w:val="0"/>
              <w:widowControl/>
              <w:suppressLineNumbers w:val="0"/>
              <w:jc w:val="center"/>
              <w:textAlignment w:val="center"/>
              <w:rPr>
                <w:rFonts w:hint="default"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0.1700</w:t>
            </w:r>
          </w:p>
        </w:tc>
        <w:tc>
          <w:tcPr>
            <w:tcW w:w="825" w:type="dxa"/>
            <w:noWrap w:val="0"/>
            <w:vAlign w:val="center"/>
          </w:tcPr>
          <w:p w14:paraId="4284B61F">
            <w:pPr>
              <w:keepNext w:val="0"/>
              <w:keepLines w:val="0"/>
              <w:widowControl/>
              <w:suppressLineNumbers w:val="0"/>
              <w:jc w:val="center"/>
              <w:textAlignment w:val="center"/>
              <w:rPr>
                <w:rFonts w:hint="default" w:ascii="Times New Roman" w:hAnsi="Times New Roman"/>
                <w:lang w:val="en-US"/>
              </w:rPr>
            </w:pPr>
            <w:r>
              <w:rPr>
                <w:rFonts w:hint="eastAsia" w:ascii="Times New Roman" w:hAnsi="Times New Roman" w:eastAsia="宋体" w:cs="宋体"/>
                <w:i w:val="0"/>
                <w:iCs w:val="0"/>
                <w:color w:val="000000"/>
                <w:kern w:val="0"/>
                <w:sz w:val="20"/>
                <w:szCs w:val="20"/>
                <w:u w:val="none"/>
                <w:lang w:val="en-US" w:eastAsia="zh-CN" w:bidi="ar"/>
              </w:rPr>
              <w:t>0.160</w:t>
            </w:r>
          </w:p>
        </w:tc>
        <w:tc>
          <w:tcPr>
            <w:tcW w:w="840" w:type="dxa"/>
            <w:noWrap w:val="0"/>
            <w:vAlign w:val="center"/>
          </w:tcPr>
          <w:p w14:paraId="4AE004CA">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0.006</w:t>
            </w:r>
          </w:p>
        </w:tc>
        <w:tc>
          <w:tcPr>
            <w:tcW w:w="810" w:type="dxa"/>
            <w:noWrap w:val="0"/>
            <w:vAlign w:val="center"/>
          </w:tcPr>
          <w:p w14:paraId="32192327">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0.166</w:t>
            </w:r>
          </w:p>
        </w:tc>
      </w:tr>
      <w:tr w14:paraId="3E7BC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jc w:val="center"/>
        </w:trPr>
        <w:tc>
          <w:tcPr>
            <w:tcW w:w="1144" w:type="dxa"/>
            <w:vMerge w:val="continue"/>
            <w:tcBorders>
              <w:top w:val="nil"/>
              <w:left w:val="single" w:color="auto" w:sz="4" w:space="0"/>
              <w:bottom w:val="nil"/>
            </w:tcBorders>
            <w:noWrap w:val="0"/>
            <w:vAlign w:val="center"/>
          </w:tcPr>
          <w:p w14:paraId="6B4D1874">
            <w:pPr>
              <w:jc w:val="center"/>
              <w:rPr>
                <w:rFonts w:ascii="Times New Roman" w:hAnsi="Times New Roman"/>
                <w:sz w:val="21"/>
              </w:rPr>
            </w:pPr>
          </w:p>
        </w:tc>
        <w:tc>
          <w:tcPr>
            <w:tcW w:w="990" w:type="dxa"/>
            <w:vMerge w:val="continue"/>
            <w:tcBorders>
              <w:left w:val="single" w:color="auto" w:sz="4" w:space="0"/>
            </w:tcBorders>
            <w:noWrap w:val="0"/>
            <w:vAlign w:val="center"/>
          </w:tcPr>
          <w:p w14:paraId="6314C568">
            <w:pPr>
              <w:jc w:val="center"/>
              <w:rPr>
                <w:rFonts w:ascii="Times New Roman" w:hAnsi="Times New Roman"/>
              </w:rPr>
            </w:pPr>
          </w:p>
        </w:tc>
        <w:tc>
          <w:tcPr>
            <w:tcW w:w="2880" w:type="dxa"/>
            <w:tcBorders>
              <w:left w:val="single" w:color="auto" w:sz="4" w:space="0"/>
            </w:tcBorders>
            <w:noWrap w:val="0"/>
            <w:vAlign w:val="center"/>
          </w:tcPr>
          <w:p w14:paraId="2F8F64C3">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超定额1倍以上的部分，按分类水价的2.5倍计收。</w:t>
            </w:r>
          </w:p>
        </w:tc>
        <w:tc>
          <w:tcPr>
            <w:tcW w:w="855" w:type="dxa"/>
            <w:noWrap w:val="0"/>
            <w:vAlign w:val="center"/>
          </w:tcPr>
          <w:p w14:paraId="6FB47958">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0.212</w:t>
            </w:r>
          </w:p>
        </w:tc>
        <w:tc>
          <w:tcPr>
            <w:tcW w:w="795" w:type="dxa"/>
            <w:noWrap w:val="0"/>
            <w:vAlign w:val="center"/>
          </w:tcPr>
          <w:p w14:paraId="459C83E0">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0.017</w:t>
            </w:r>
          </w:p>
        </w:tc>
        <w:tc>
          <w:tcPr>
            <w:tcW w:w="750" w:type="dxa"/>
            <w:noWrap w:val="0"/>
            <w:vAlign w:val="center"/>
          </w:tcPr>
          <w:p w14:paraId="3FBAA47F">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0.229</w:t>
            </w:r>
          </w:p>
        </w:tc>
        <w:tc>
          <w:tcPr>
            <w:tcW w:w="720" w:type="dxa"/>
            <w:noWrap w:val="0"/>
            <w:vAlign w:val="center"/>
          </w:tcPr>
          <w:p w14:paraId="0179F7B0">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0.185</w:t>
            </w:r>
          </w:p>
        </w:tc>
        <w:tc>
          <w:tcPr>
            <w:tcW w:w="750" w:type="dxa"/>
            <w:noWrap w:val="0"/>
            <w:vAlign w:val="center"/>
          </w:tcPr>
          <w:p w14:paraId="67B9C658">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0.007</w:t>
            </w:r>
          </w:p>
        </w:tc>
        <w:tc>
          <w:tcPr>
            <w:tcW w:w="795" w:type="dxa"/>
            <w:noWrap w:val="0"/>
            <w:vAlign w:val="center"/>
          </w:tcPr>
          <w:p w14:paraId="379B3053">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0.192</w:t>
            </w:r>
          </w:p>
        </w:tc>
        <w:tc>
          <w:tcPr>
            <w:tcW w:w="795" w:type="dxa"/>
            <w:noWrap w:val="0"/>
            <w:vAlign w:val="center"/>
          </w:tcPr>
          <w:p w14:paraId="5C865656">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0.2077</w:t>
            </w:r>
          </w:p>
        </w:tc>
        <w:tc>
          <w:tcPr>
            <w:tcW w:w="765" w:type="dxa"/>
            <w:noWrap w:val="0"/>
            <w:vAlign w:val="center"/>
          </w:tcPr>
          <w:p w14:paraId="26A4EDBD">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0.0053</w:t>
            </w:r>
          </w:p>
        </w:tc>
        <w:tc>
          <w:tcPr>
            <w:tcW w:w="765" w:type="dxa"/>
            <w:noWrap w:val="0"/>
            <w:vAlign w:val="center"/>
          </w:tcPr>
          <w:p w14:paraId="5BA23D9B">
            <w:pPr>
              <w:keepNext w:val="0"/>
              <w:keepLines w:val="0"/>
              <w:widowControl/>
              <w:suppressLineNumbers w:val="0"/>
              <w:jc w:val="center"/>
              <w:textAlignment w:val="center"/>
              <w:rPr>
                <w:rFonts w:hint="default"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0.2130</w:t>
            </w:r>
          </w:p>
        </w:tc>
        <w:tc>
          <w:tcPr>
            <w:tcW w:w="825" w:type="dxa"/>
            <w:noWrap w:val="0"/>
            <w:vAlign w:val="center"/>
          </w:tcPr>
          <w:p w14:paraId="161671D5">
            <w:pPr>
              <w:keepNext w:val="0"/>
              <w:keepLines w:val="0"/>
              <w:widowControl/>
              <w:suppressLineNumbers w:val="0"/>
              <w:jc w:val="center"/>
              <w:textAlignment w:val="center"/>
              <w:rPr>
                <w:rFonts w:hint="default" w:ascii="Times New Roman" w:hAnsi="Times New Roman"/>
                <w:lang w:val="en-US"/>
              </w:rPr>
            </w:pPr>
            <w:r>
              <w:rPr>
                <w:rFonts w:hint="eastAsia" w:ascii="Times New Roman" w:hAnsi="Times New Roman" w:eastAsia="宋体" w:cs="宋体"/>
                <w:i w:val="0"/>
                <w:iCs w:val="0"/>
                <w:color w:val="000000"/>
                <w:kern w:val="0"/>
                <w:sz w:val="20"/>
                <w:szCs w:val="20"/>
                <w:u w:val="none"/>
                <w:lang w:val="en-US" w:eastAsia="zh-CN" w:bidi="ar"/>
              </w:rPr>
              <w:t>0.20</w:t>
            </w:r>
          </w:p>
        </w:tc>
        <w:tc>
          <w:tcPr>
            <w:tcW w:w="840" w:type="dxa"/>
            <w:noWrap w:val="0"/>
            <w:vAlign w:val="center"/>
          </w:tcPr>
          <w:p w14:paraId="775075C9">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0.006</w:t>
            </w:r>
          </w:p>
        </w:tc>
        <w:tc>
          <w:tcPr>
            <w:tcW w:w="810" w:type="dxa"/>
            <w:noWrap w:val="0"/>
            <w:vAlign w:val="center"/>
          </w:tcPr>
          <w:p w14:paraId="3607991D">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0.206</w:t>
            </w:r>
          </w:p>
        </w:tc>
      </w:tr>
      <w:tr w14:paraId="3C86D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jc w:val="center"/>
        </w:trPr>
        <w:tc>
          <w:tcPr>
            <w:tcW w:w="1144" w:type="dxa"/>
            <w:vMerge w:val="continue"/>
            <w:tcBorders>
              <w:top w:val="nil"/>
              <w:left w:val="single" w:color="auto" w:sz="4" w:space="0"/>
              <w:bottom w:val="single" w:color="auto" w:sz="4" w:space="0"/>
            </w:tcBorders>
            <w:noWrap w:val="0"/>
            <w:vAlign w:val="center"/>
          </w:tcPr>
          <w:p w14:paraId="7FBE707D">
            <w:pPr>
              <w:jc w:val="center"/>
              <w:rPr>
                <w:rFonts w:hint="eastAsia" w:ascii="Times New Roman" w:hAnsi="Times New Roman" w:eastAsia="宋体" w:cs="宋体"/>
                <w:kern w:val="2"/>
                <w:sz w:val="20"/>
                <w:szCs w:val="20"/>
                <w:lang w:val="en-US" w:eastAsia="zh-CN" w:bidi="ar-SA"/>
              </w:rPr>
            </w:pPr>
          </w:p>
        </w:tc>
        <w:tc>
          <w:tcPr>
            <w:tcW w:w="990" w:type="dxa"/>
            <w:vMerge w:val="restart"/>
            <w:tcBorders>
              <w:left w:val="single" w:color="auto" w:sz="4" w:space="0"/>
            </w:tcBorders>
            <w:noWrap w:val="0"/>
            <w:vAlign w:val="center"/>
          </w:tcPr>
          <w:p w14:paraId="52461C04">
            <w:pPr>
              <w:keepNext w:val="0"/>
              <w:keepLines w:val="0"/>
              <w:widowControl/>
              <w:suppressLineNumbers w:val="0"/>
              <w:jc w:val="center"/>
              <w:textAlignment w:val="center"/>
              <w:rPr>
                <w:rFonts w:hint="default" w:ascii="Times New Roman" w:hAnsi="Times New Roman" w:eastAsia="宋体" w:cs="宋体"/>
                <w:kern w:val="2"/>
                <w:sz w:val="20"/>
                <w:szCs w:val="20"/>
                <w:lang w:val="en-US" w:eastAsia="en-US" w:bidi="ar-SA"/>
              </w:rPr>
            </w:pPr>
            <w:r>
              <w:rPr>
                <w:rFonts w:hint="eastAsia" w:ascii="Times New Roman" w:hAnsi="Times New Roman" w:eastAsia="宋体" w:cs="宋体"/>
                <w:i w:val="0"/>
                <w:iCs w:val="0"/>
                <w:color w:val="000000"/>
                <w:kern w:val="0"/>
                <w:sz w:val="20"/>
                <w:szCs w:val="20"/>
                <w:u w:val="none"/>
                <w:lang w:val="en-US" w:eastAsia="zh-CN" w:bidi="ar"/>
              </w:rPr>
              <w:t>经济作物</w:t>
            </w:r>
          </w:p>
        </w:tc>
        <w:tc>
          <w:tcPr>
            <w:tcW w:w="2880" w:type="dxa"/>
            <w:tcBorders>
              <w:left w:val="single" w:color="auto" w:sz="4" w:space="0"/>
            </w:tcBorders>
            <w:noWrap w:val="0"/>
            <w:vAlign w:val="center"/>
          </w:tcPr>
          <w:p w14:paraId="30827AB7">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经济作物水价高于粮食作物水价，差价保持在10%-30%。</w:t>
            </w:r>
          </w:p>
        </w:tc>
        <w:tc>
          <w:tcPr>
            <w:tcW w:w="855" w:type="dxa"/>
            <w:noWrap w:val="0"/>
            <w:vAlign w:val="center"/>
          </w:tcPr>
          <w:p w14:paraId="2207A576">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0.093</w:t>
            </w:r>
          </w:p>
        </w:tc>
        <w:tc>
          <w:tcPr>
            <w:tcW w:w="795" w:type="dxa"/>
            <w:noWrap w:val="0"/>
            <w:vAlign w:val="center"/>
          </w:tcPr>
          <w:p w14:paraId="3C3DE533">
            <w:pPr>
              <w:keepNext w:val="0"/>
              <w:keepLines w:val="0"/>
              <w:widowControl/>
              <w:suppressLineNumbers w:val="0"/>
              <w:jc w:val="center"/>
              <w:textAlignment w:val="center"/>
              <w:rPr>
                <w:rFonts w:ascii="Times New Roman" w:hAnsi="Times New Roman"/>
                <w:spacing w:val="-2"/>
              </w:rPr>
            </w:pPr>
            <w:r>
              <w:rPr>
                <w:rFonts w:hint="eastAsia" w:ascii="Times New Roman" w:hAnsi="Times New Roman" w:eastAsia="宋体" w:cs="宋体"/>
                <w:i w:val="0"/>
                <w:iCs w:val="0"/>
                <w:color w:val="000000"/>
                <w:kern w:val="0"/>
                <w:sz w:val="20"/>
                <w:szCs w:val="20"/>
                <w:u w:val="none"/>
                <w:lang w:val="en-US" w:eastAsia="zh-CN" w:bidi="ar"/>
              </w:rPr>
              <w:t>0.017</w:t>
            </w:r>
          </w:p>
        </w:tc>
        <w:tc>
          <w:tcPr>
            <w:tcW w:w="750" w:type="dxa"/>
            <w:noWrap w:val="0"/>
            <w:vAlign w:val="center"/>
          </w:tcPr>
          <w:p w14:paraId="51D462DD">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0.110</w:t>
            </w:r>
          </w:p>
        </w:tc>
        <w:tc>
          <w:tcPr>
            <w:tcW w:w="720" w:type="dxa"/>
            <w:noWrap w:val="0"/>
            <w:vAlign w:val="center"/>
          </w:tcPr>
          <w:p w14:paraId="364DAC09">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0.093</w:t>
            </w:r>
          </w:p>
        </w:tc>
        <w:tc>
          <w:tcPr>
            <w:tcW w:w="750" w:type="dxa"/>
            <w:noWrap w:val="0"/>
            <w:vAlign w:val="center"/>
          </w:tcPr>
          <w:p w14:paraId="5F7BB8EC">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0.007</w:t>
            </w:r>
          </w:p>
        </w:tc>
        <w:tc>
          <w:tcPr>
            <w:tcW w:w="795" w:type="dxa"/>
            <w:noWrap w:val="0"/>
            <w:vAlign w:val="center"/>
          </w:tcPr>
          <w:p w14:paraId="53FEF616">
            <w:pPr>
              <w:keepNext w:val="0"/>
              <w:keepLines w:val="0"/>
              <w:widowControl/>
              <w:suppressLineNumbers w:val="0"/>
              <w:jc w:val="center"/>
              <w:textAlignment w:val="center"/>
              <w:rPr>
                <w:rFonts w:hint="default"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0.100</w:t>
            </w:r>
          </w:p>
        </w:tc>
        <w:tc>
          <w:tcPr>
            <w:tcW w:w="795" w:type="dxa"/>
            <w:noWrap w:val="0"/>
            <w:vAlign w:val="center"/>
          </w:tcPr>
          <w:p w14:paraId="16184875">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0.1000</w:t>
            </w:r>
          </w:p>
        </w:tc>
        <w:tc>
          <w:tcPr>
            <w:tcW w:w="765" w:type="dxa"/>
            <w:noWrap w:val="0"/>
            <w:vAlign w:val="center"/>
          </w:tcPr>
          <w:p w14:paraId="7AEAE23F">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0.0053</w:t>
            </w:r>
          </w:p>
        </w:tc>
        <w:tc>
          <w:tcPr>
            <w:tcW w:w="765" w:type="dxa"/>
            <w:noWrap w:val="0"/>
            <w:vAlign w:val="center"/>
          </w:tcPr>
          <w:p w14:paraId="1285D528">
            <w:pPr>
              <w:keepNext w:val="0"/>
              <w:keepLines w:val="0"/>
              <w:widowControl/>
              <w:suppressLineNumbers w:val="0"/>
              <w:jc w:val="center"/>
              <w:textAlignment w:val="center"/>
              <w:rPr>
                <w:rFonts w:hint="default"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0.1053</w:t>
            </w:r>
          </w:p>
        </w:tc>
        <w:tc>
          <w:tcPr>
            <w:tcW w:w="825" w:type="dxa"/>
            <w:noWrap w:val="0"/>
            <w:vAlign w:val="center"/>
          </w:tcPr>
          <w:p w14:paraId="514C5401">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0.096</w:t>
            </w:r>
          </w:p>
        </w:tc>
        <w:tc>
          <w:tcPr>
            <w:tcW w:w="840" w:type="dxa"/>
            <w:noWrap w:val="0"/>
            <w:vAlign w:val="center"/>
          </w:tcPr>
          <w:p w14:paraId="780B7E31">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0.006</w:t>
            </w:r>
          </w:p>
        </w:tc>
        <w:tc>
          <w:tcPr>
            <w:tcW w:w="810" w:type="dxa"/>
            <w:noWrap w:val="0"/>
            <w:vAlign w:val="center"/>
          </w:tcPr>
          <w:p w14:paraId="7A0E69DB">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0.102</w:t>
            </w:r>
          </w:p>
        </w:tc>
      </w:tr>
      <w:tr w14:paraId="5782C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jc w:val="center"/>
        </w:trPr>
        <w:tc>
          <w:tcPr>
            <w:tcW w:w="1144" w:type="dxa"/>
            <w:vMerge w:val="continue"/>
            <w:tcBorders>
              <w:top w:val="single" w:color="auto" w:sz="4" w:space="0"/>
              <w:left w:val="single" w:color="auto" w:sz="4" w:space="0"/>
              <w:bottom w:val="single" w:color="auto" w:sz="4" w:space="0"/>
            </w:tcBorders>
            <w:noWrap w:val="0"/>
            <w:vAlign w:val="center"/>
          </w:tcPr>
          <w:p w14:paraId="0DB98310">
            <w:pPr>
              <w:jc w:val="center"/>
              <w:rPr>
                <w:rFonts w:ascii="Times New Roman" w:hAnsi="Times New Roman" w:eastAsia="宋体" w:cs="宋体"/>
                <w:kern w:val="2"/>
                <w:sz w:val="20"/>
                <w:szCs w:val="20"/>
                <w:lang w:val="en-US" w:eastAsia="en-US" w:bidi="ar-SA"/>
              </w:rPr>
            </w:pPr>
          </w:p>
        </w:tc>
        <w:tc>
          <w:tcPr>
            <w:tcW w:w="990" w:type="dxa"/>
            <w:vMerge w:val="continue"/>
            <w:tcBorders>
              <w:left w:val="single" w:color="auto" w:sz="4" w:space="0"/>
            </w:tcBorders>
            <w:noWrap w:val="0"/>
            <w:vAlign w:val="center"/>
          </w:tcPr>
          <w:p w14:paraId="77E3F8D1">
            <w:pPr>
              <w:jc w:val="center"/>
              <w:rPr>
                <w:rFonts w:ascii="Times New Roman" w:hAnsi="Times New Roman" w:eastAsia="宋体" w:cs="宋体"/>
                <w:kern w:val="2"/>
                <w:sz w:val="20"/>
                <w:szCs w:val="20"/>
                <w:lang w:val="en-US" w:eastAsia="en-US" w:bidi="ar-SA"/>
              </w:rPr>
            </w:pPr>
          </w:p>
        </w:tc>
        <w:tc>
          <w:tcPr>
            <w:tcW w:w="2880" w:type="dxa"/>
            <w:tcBorders>
              <w:left w:val="single" w:color="auto" w:sz="4" w:space="0"/>
            </w:tcBorders>
            <w:noWrap w:val="0"/>
            <w:vAlign w:val="center"/>
          </w:tcPr>
          <w:p w14:paraId="4F09E7E0">
            <w:pPr>
              <w:keepNext w:val="0"/>
              <w:keepLines w:val="0"/>
              <w:widowControl/>
              <w:suppressLineNumbers w:val="0"/>
              <w:jc w:val="center"/>
              <w:textAlignment w:val="top"/>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超定额不足50%(含本数),超过部分按分类水价的1.5倍计收。</w:t>
            </w:r>
          </w:p>
        </w:tc>
        <w:tc>
          <w:tcPr>
            <w:tcW w:w="855" w:type="dxa"/>
            <w:noWrap w:val="0"/>
            <w:vAlign w:val="center"/>
          </w:tcPr>
          <w:p w14:paraId="2DE2C99A">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0.139</w:t>
            </w:r>
          </w:p>
        </w:tc>
        <w:tc>
          <w:tcPr>
            <w:tcW w:w="795" w:type="dxa"/>
            <w:noWrap w:val="0"/>
            <w:vAlign w:val="center"/>
          </w:tcPr>
          <w:p w14:paraId="278F6A2B">
            <w:pPr>
              <w:keepNext w:val="0"/>
              <w:keepLines w:val="0"/>
              <w:widowControl/>
              <w:suppressLineNumbers w:val="0"/>
              <w:jc w:val="center"/>
              <w:textAlignment w:val="center"/>
              <w:rPr>
                <w:rFonts w:ascii="Times New Roman" w:hAnsi="Times New Roman"/>
                <w:spacing w:val="-2"/>
              </w:rPr>
            </w:pPr>
            <w:r>
              <w:rPr>
                <w:rFonts w:hint="eastAsia" w:ascii="Times New Roman" w:hAnsi="Times New Roman" w:eastAsia="宋体" w:cs="宋体"/>
                <w:i w:val="0"/>
                <w:iCs w:val="0"/>
                <w:color w:val="000000"/>
                <w:kern w:val="0"/>
                <w:sz w:val="20"/>
                <w:szCs w:val="20"/>
                <w:u w:val="none"/>
                <w:lang w:val="en-US" w:eastAsia="zh-CN" w:bidi="ar"/>
              </w:rPr>
              <w:t>0.017</w:t>
            </w:r>
          </w:p>
        </w:tc>
        <w:tc>
          <w:tcPr>
            <w:tcW w:w="750" w:type="dxa"/>
            <w:noWrap w:val="0"/>
            <w:vAlign w:val="center"/>
          </w:tcPr>
          <w:p w14:paraId="0A92EABA">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0.156</w:t>
            </w:r>
          </w:p>
        </w:tc>
        <w:tc>
          <w:tcPr>
            <w:tcW w:w="720" w:type="dxa"/>
            <w:noWrap w:val="0"/>
            <w:vAlign w:val="center"/>
          </w:tcPr>
          <w:p w14:paraId="6292ADB5">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0.139</w:t>
            </w:r>
          </w:p>
        </w:tc>
        <w:tc>
          <w:tcPr>
            <w:tcW w:w="750" w:type="dxa"/>
            <w:noWrap w:val="0"/>
            <w:vAlign w:val="center"/>
          </w:tcPr>
          <w:p w14:paraId="0EF3A0A3">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0.007</w:t>
            </w:r>
          </w:p>
        </w:tc>
        <w:tc>
          <w:tcPr>
            <w:tcW w:w="795" w:type="dxa"/>
            <w:noWrap w:val="0"/>
            <w:vAlign w:val="center"/>
          </w:tcPr>
          <w:p w14:paraId="3B92A9FA">
            <w:pPr>
              <w:keepNext w:val="0"/>
              <w:keepLines w:val="0"/>
              <w:widowControl/>
              <w:suppressLineNumbers w:val="0"/>
              <w:jc w:val="center"/>
              <w:textAlignment w:val="center"/>
              <w:rPr>
                <w:rFonts w:hint="eastAsia"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0.146</w:t>
            </w:r>
          </w:p>
        </w:tc>
        <w:tc>
          <w:tcPr>
            <w:tcW w:w="795" w:type="dxa"/>
            <w:noWrap w:val="0"/>
            <w:vAlign w:val="center"/>
          </w:tcPr>
          <w:p w14:paraId="1E2E6AF0">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0.1527</w:t>
            </w:r>
          </w:p>
        </w:tc>
        <w:tc>
          <w:tcPr>
            <w:tcW w:w="765" w:type="dxa"/>
            <w:noWrap w:val="0"/>
            <w:vAlign w:val="center"/>
          </w:tcPr>
          <w:p w14:paraId="286063D9">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0.0053</w:t>
            </w:r>
          </w:p>
        </w:tc>
        <w:tc>
          <w:tcPr>
            <w:tcW w:w="765" w:type="dxa"/>
            <w:noWrap w:val="0"/>
            <w:vAlign w:val="center"/>
          </w:tcPr>
          <w:p w14:paraId="290433A5">
            <w:pPr>
              <w:keepNext w:val="0"/>
              <w:keepLines w:val="0"/>
              <w:widowControl/>
              <w:suppressLineNumbers w:val="0"/>
              <w:jc w:val="center"/>
              <w:textAlignment w:val="center"/>
              <w:rPr>
                <w:rFonts w:hint="default"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0.1580</w:t>
            </w:r>
          </w:p>
        </w:tc>
        <w:tc>
          <w:tcPr>
            <w:tcW w:w="825" w:type="dxa"/>
            <w:noWrap w:val="0"/>
            <w:vAlign w:val="center"/>
          </w:tcPr>
          <w:p w14:paraId="38208746">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0.144</w:t>
            </w:r>
          </w:p>
        </w:tc>
        <w:tc>
          <w:tcPr>
            <w:tcW w:w="840" w:type="dxa"/>
            <w:noWrap w:val="0"/>
            <w:vAlign w:val="center"/>
          </w:tcPr>
          <w:p w14:paraId="77B7494D">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0.006</w:t>
            </w:r>
          </w:p>
        </w:tc>
        <w:tc>
          <w:tcPr>
            <w:tcW w:w="810" w:type="dxa"/>
            <w:noWrap w:val="0"/>
            <w:vAlign w:val="center"/>
          </w:tcPr>
          <w:p w14:paraId="6228A3C5">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0.15</w:t>
            </w:r>
          </w:p>
        </w:tc>
      </w:tr>
      <w:tr w14:paraId="5DC45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jc w:val="center"/>
        </w:trPr>
        <w:tc>
          <w:tcPr>
            <w:tcW w:w="1144" w:type="dxa"/>
            <w:vMerge w:val="continue"/>
            <w:tcBorders>
              <w:top w:val="single" w:color="auto" w:sz="4" w:space="0"/>
              <w:left w:val="single" w:color="auto" w:sz="4" w:space="0"/>
              <w:bottom w:val="single" w:color="auto" w:sz="4" w:space="0"/>
            </w:tcBorders>
            <w:noWrap w:val="0"/>
            <w:vAlign w:val="center"/>
          </w:tcPr>
          <w:p w14:paraId="6ED7B43C">
            <w:pPr>
              <w:jc w:val="center"/>
              <w:rPr>
                <w:rFonts w:ascii="Times New Roman" w:hAnsi="Times New Roman" w:eastAsia="宋体" w:cs="宋体"/>
                <w:kern w:val="2"/>
                <w:sz w:val="20"/>
                <w:szCs w:val="20"/>
                <w:lang w:val="en-US" w:eastAsia="en-US" w:bidi="ar-SA"/>
              </w:rPr>
            </w:pPr>
          </w:p>
        </w:tc>
        <w:tc>
          <w:tcPr>
            <w:tcW w:w="990" w:type="dxa"/>
            <w:vMerge w:val="continue"/>
            <w:tcBorders>
              <w:left w:val="single" w:color="auto" w:sz="4" w:space="0"/>
            </w:tcBorders>
            <w:noWrap w:val="0"/>
            <w:vAlign w:val="center"/>
          </w:tcPr>
          <w:p w14:paraId="489DED91">
            <w:pPr>
              <w:jc w:val="center"/>
              <w:rPr>
                <w:rFonts w:ascii="Times New Roman" w:hAnsi="Times New Roman" w:eastAsia="宋体" w:cs="宋体"/>
                <w:kern w:val="2"/>
                <w:sz w:val="20"/>
                <w:szCs w:val="20"/>
                <w:lang w:val="en-US" w:eastAsia="en-US" w:bidi="ar-SA"/>
              </w:rPr>
            </w:pPr>
          </w:p>
        </w:tc>
        <w:tc>
          <w:tcPr>
            <w:tcW w:w="2880" w:type="dxa"/>
            <w:tcBorders>
              <w:left w:val="single" w:color="auto" w:sz="4" w:space="0"/>
            </w:tcBorders>
            <w:noWrap w:val="0"/>
            <w:vAlign w:val="center"/>
          </w:tcPr>
          <w:p w14:paraId="488E81BE">
            <w:pPr>
              <w:keepNext w:val="0"/>
              <w:keepLines w:val="0"/>
              <w:widowControl/>
              <w:suppressLineNumbers w:val="0"/>
              <w:jc w:val="center"/>
              <w:textAlignment w:val="top"/>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超定额50%至1倍(含本数)的部分，按分类水价的2倍计收。</w:t>
            </w:r>
          </w:p>
        </w:tc>
        <w:tc>
          <w:tcPr>
            <w:tcW w:w="855" w:type="dxa"/>
            <w:noWrap w:val="0"/>
            <w:vAlign w:val="center"/>
          </w:tcPr>
          <w:p w14:paraId="69EE00CA">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0.186</w:t>
            </w:r>
          </w:p>
        </w:tc>
        <w:tc>
          <w:tcPr>
            <w:tcW w:w="795" w:type="dxa"/>
            <w:noWrap w:val="0"/>
            <w:vAlign w:val="center"/>
          </w:tcPr>
          <w:p w14:paraId="175CCA37">
            <w:pPr>
              <w:keepNext w:val="0"/>
              <w:keepLines w:val="0"/>
              <w:widowControl/>
              <w:suppressLineNumbers w:val="0"/>
              <w:jc w:val="center"/>
              <w:textAlignment w:val="center"/>
              <w:rPr>
                <w:rFonts w:ascii="Times New Roman" w:hAnsi="Times New Roman"/>
                <w:spacing w:val="-2"/>
              </w:rPr>
            </w:pPr>
            <w:r>
              <w:rPr>
                <w:rFonts w:hint="eastAsia" w:ascii="Times New Roman" w:hAnsi="Times New Roman" w:eastAsia="宋体" w:cs="宋体"/>
                <w:i w:val="0"/>
                <w:iCs w:val="0"/>
                <w:color w:val="000000"/>
                <w:kern w:val="0"/>
                <w:sz w:val="20"/>
                <w:szCs w:val="20"/>
                <w:u w:val="none"/>
                <w:lang w:val="en-US" w:eastAsia="zh-CN" w:bidi="ar"/>
              </w:rPr>
              <w:t>0.017</w:t>
            </w:r>
          </w:p>
        </w:tc>
        <w:tc>
          <w:tcPr>
            <w:tcW w:w="750" w:type="dxa"/>
            <w:noWrap w:val="0"/>
            <w:vAlign w:val="center"/>
          </w:tcPr>
          <w:p w14:paraId="6895E7BA">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0.203</w:t>
            </w:r>
          </w:p>
        </w:tc>
        <w:tc>
          <w:tcPr>
            <w:tcW w:w="720" w:type="dxa"/>
            <w:noWrap w:val="0"/>
            <w:vAlign w:val="center"/>
          </w:tcPr>
          <w:p w14:paraId="6F9D34A2">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0.186</w:t>
            </w:r>
          </w:p>
        </w:tc>
        <w:tc>
          <w:tcPr>
            <w:tcW w:w="750" w:type="dxa"/>
            <w:noWrap w:val="0"/>
            <w:vAlign w:val="center"/>
          </w:tcPr>
          <w:p w14:paraId="32749447">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0.007</w:t>
            </w:r>
          </w:p>
        </w:tc>
        <w:tc>
          <w:tcPr>
            <w:tcW w:w="795" w:type="dxa"/>
            <w:noWrap w:val="0"/>
            <w:vAlign w:val="center"/>
          </w:tcPr>
          <w:p w14:paraId="6B84147E">
            <w:pPr>
              <w:keepNext w:val="0"/>
              <w:keepLines w:val="0"/>
              <w:widowControl/>
              <w:suppressLineNumbers w:val="0"/>
              <w:jc w:val="center"/>
              <w:textAlignment w:val="center"/>
              <w:rPr>
                <w:rFonts w:hint="eastAsia"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0.193</w:t>
            </w:r>
          </w:p>
        </w:tc>
        <w:tc>
          <w:tcPr>
            <w:tcW w:w="795" w:type="dxa"/>
            <w:noWrap w:val="0"/>
            <w:vAlign w:val="center"/>
          </w:tcPr>
          <w:p w14:paraId="0D3244FA">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0.2047</w:t>
            </w:r>
          </w:p>
        </w:tc>
        <w:tc>
          <w:tcPr>
            <w:tcW w:w="765" w:type="dxa"/>
            <w:noWrap w:val="0"/>
            <w:vAlign w:val="center"/>
          </w:tcPr>
          <w:p w14:paraId="0F158017">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0.0053</w:t>
            </w:r>
          </w:p>
        </w:tc>
        <w:tc>
          <w:tcPr>
            <w:tcW w:w="765" w:type="dxa"/>
            <w:noWrap w:val="0"/>
            <w:vAlign w:val="center"/>
          </w:tcPr>
          <w:p w14:paraId="7780A08A">
            <w:pPr>
              <w:keepNext w:val="0"/>
              <w:keepLines w:val="0"/>
              <w:widowControl/>
              <w:suppressLineNumbers w:val="0"/>
              <w:jc w:val="center"/>
              <w:textAlignment w:val="center"/>
              <w:rPr>
                <w:rFonts w:hint="default"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0.2100</w:t>
            </w:r>
          </w:p>
        </w:tc>
        <w:tc>
          <w:tcPr>
            <w:tcW w:w="825" w:type="dxa"/>
            <w:noWrap w:val="0"/>
            <w:vAlign w:val="center"/>
          </w:tcPr>
          <w:p w14:paraId="4E3A5717">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0.192</w:t>
            </w:r>
          </w:p>
        </w:tc>
        <w:tc>
          <w:tcPr>
            <w:tcW w:w="840" w:type="dxa"/>
            <w:noWrap w:val="0"/>
            <w:vAlign w:val="center"/>
          </w:tcPr>
          <w:p w14:paraId="676E682A">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0.006</w:t>
            </w:r>
          </w:p>
        </w:tc>
        <w:tc>
          <w:tcPr>
            <w:tcW w:w="810" w:type="dxa"/>
            <w:noWrap w:val="0"/>
            <w:vAlign w:val="center"/>
          </w:tcPr>
          <w:p w14:paraId="5595AFDA">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0.198</w:t>
            </w:r>
          </w:p>
        </w:tc>
      </w:tr>
      <w:tr w14:paraId="5D59B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144" w:type="dxa"/>
            <w:vMerge w:val="continue"/>
            <w:tcBorders>
              <w:top w:val="single" w:color="auto" w:sz="4" w:space="0"/>
              <w:left w:val="single" w:color="auto" w:sz="4" w:space="0"/>
              <w:bottom w:val="single" w:color="auto" w:sz="4" w:space="0"/>
            </w:tcBorders>
            <w:noWrap w:val="0"/>
            <w:vAlign w:val="center"/>
          </w:tcPr>
          <w:p w14:paraId="6EE09CF3">
            <w:pPr>
              <w:jc w:val="center"/>
              <w:rPr>
                <w:rFonts w:ascii="Times New Roman" w:hAnsi="Times New Roman" w:eastAsia="宋体" w:cs="宋体"/>
                <w:kern w:val="2"/>
                <w:sz w:val="20"/>
                <w:szCs w:val="20"/>
                <w:lang w:val="en-US" w:eastAsia="en-US" w:bidi="ar-SA"/>
              </w:rPr>
            </w:pPr>
          </w:p>
        </w:tc>
        <w:tc>
          <w:tcPr>
            <w:tcW w:w="990" w:type="dxa"/>
            <w:vMerge w:val="continue"/>
            <w:tcBorders>
              <w:left w:val="single" w:color="auto" w:sz="4" w:space="0"/>
            </w:tcBorders>
            <w:noWrap w:val="0"/>
            <w:vAlign w:val="center"/>
          </w:tcPr>
          <w:p w14:paraId="28A5B8B7">
            <w:pPr>
              <w:jc w:val="center"/>
              <w:rPr>
                <w:rFonts w:ascii="Times New Roman" w:hAnsi="Times New Roman" w:eastAsia="宋体" w:cs="宋体"/>
                <w:kern w:val="2"/>
                <w:sz w:val="20"/>
                <w:szCs w:val="20"/>
                <w:lang w:val="en-US" w:eastAsia="en-US" w:bidi="ar-SA"/>
              </w:rPr>
            </w:pPr>
          </w:p>
        </w:tc>
        <w:tc>
          <w:tcPr>
            <w:tcW w:w="2880" w:type="dxa"/>
            <w:tcBorders>
              <w:left w:val="single" w:color="auto" w:sz="4" w:space="0"/>
            </w:tcBorders>
            <w:noWrap w:val="0"/>
            <w:vAlign w:val="center"/>
          </w:tcPr>
          <w:p w14:paraId="713D5820">
            <w:pPr>
              <w:keepNext w:val="0"/>
              <w:keepLines w:val="0"/>
              <w:widowControl/>
              <w:suppressLineNumbers w:val="0"/>
              <w:jc w:val="center"/>
              <w:textAlignment w:val="top"/>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超定额1倍以上的部分，按分类水价的2.5倍计收。</w:t>
            </w:r>
          </w:p>
        </w:tc>
        <w:tc>
          <w:tcPr>
            <w:tcW w:w="855" w:type="dxa"/>
            <w:noWrap w:val="0"/>
            <w:vAlign w:val="center"/>
          </w:tcPr>
          <w:p w14:paraId="77B8BB29">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0.232</w:t>
            </w:r>
          </w:p>
        </w:tc>
        <w:tc>
          <w:tcPr>
            <w:tcW w:w="795" w:type="dxa"/>
            <w:noWrap w:val="0"/>
            <w:vAlign w:val="center"/>
          </w:tcPr>
          <w:p w14:paraId="30B04585">
            <w:pPr>
              <w:keepNext w:val="0"/>
              <w:keepLines w:val="0"/>
              <w:widowControl/>
              <w:suppressLineNumbers w:val="0"/>
              <w:jc w:val="center"/>
              <w:textAlignment w:val="center"/>
              <w:rPr>
                <w:rFonts w:ascii="Times New Roman" w:hAnsi="Times New Roman"/>
                <w:spacing w:val="-2"/>
              </w:rPr>
            </w:pPr>
            <w:r>
              <w:rPr>
                <w:rFonts w:hint="eastAsia" w:ascii="Times New Roman" w:hAnsi="Times New Roman" w:eastAsia="宋体" w:cs="宋体"/>
                <w:i w:val="0"/>
                <w:iCs w:val="0"/>
                <w:color w:val="000000"/>
                <w:kern w:val="0"/>
                <w:sz w:val="20"/>
                <w:szCs w:val="20"/>
                <w:u w:val="none"/>
                <w:lang w:val="en-US" w:eastAsia="zh-CN" w:bidi="ar"/>
              </w:rPr>
              <w:t>0.017</w:t>
            </w:r>
          </w:p>
        </w:tc>
        <w:tc>
          <w:tcPr>
            <w:tcW w:w="750" w:type="dxa"/>
            <w:noWrap w:val="0"/>
            <w:vAlign w:val="center"/>
          </w:tcPr>
          <w:p w14:paraId="7D5A5D52">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0.249</w:t>
            </w:r>
          </w:p>
        </w:tc>
        <w:tc>
          <w:tcPr>
            <w:tcW w:w="720" w:type="dxa"/>
            <w:noWrap w:val="0"/>
            <w:vAlign w:val="center"/>
          </w:tcPr>
          <w:p w14:paraId="62DC2058">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0.231</w:t>
            </w:r>
          </w:p>
        </w:tc>
        <w:tc>
          <w:tcPr>
            <w:tcW w:w="750" w:type="dxa"/>
            <w:noWrap w:val="0"/>
            <w:vAlign w:val="center"/>
          </w:tcPr>
          <w:p w14:paraId="6D919F25">
            <w:pPr>
              <w:keepNext w:val="0"/>
              <w:keepLines w:val="0"/>
              <w:widowControl/>
              <w:suppressLineNumbers w:val="0"/>
              <w:jc w:val="center"/>
              <w:textAlignment w:val="center"/>
              <w:rPr>
                <w:rFonts w:ascii="Times New Roman" w:hAnsi="Times New Roman"/>
              </w:rPr>
            </w:pPr>
            <w:r>
              <w:rPr>
                <w:rFonts w:hint="eastAsia" w:ascii="Times New Roman" w:hAnsi="Times New Roman" w:eastAsia="宋体" w:cs="宋体"/>
                <w:i w:val="0"/>
                <w:iCs w:val="0"/>
                <w:color w:val="000000"/>
                <w:kern w:val="0"/>
                <w:sz w:val="20"/>
                <w:szCs w:val="20"/>
                <w:u w:val="none"/>
                <w:lang w:val="en-US" w:eastAsia="zh-CN" w:bidi="ar"/>
              </w:rPr>
              <w:t>0.007</w:t>
            </w:r>
          </w:p>
        </w:tc>
        <w:tc>
          <w:tcPr>
            <w:tcW w:w="795" w:type="dxa"/>
            <w:noWrap w:val="0"/>
            <w:vAlign w:val="center"/>
          </w:tcPr>
          <w:p w14:paraId="0F77CF2C">
            <w:pPr>
              <w:keepNext w:val="0"/>
              <w:keepLines w:val="0"/>
              <w:widowControl/>
              <w:suppressLineNumbers w:val="0"/>
              <w:jc w:val="center"/>
              <w:textAlignment w:val="center"/>
              <w:rPr>
                <w:rFonts w:hint="eastAsia"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0.238</w:t>
            </w:r>
          </w:p>
        </w:tc>
        <w:tc>
          <w:tcPr>
            <w:tcW w:w="795" w:type="dxa"/>
            <w:noWrap w:val="0"/>
            <w:vAlign w:val="center"/>
          </w:tcPr>
          <w:p w14:paraId="69EB9AFC">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0.2577</w:t>
            </w:r>
          </w:p>
        </w:tc>
        <w:tc>
          <w:tcPr>
            <w:tcW w:w="765" w:type="dxa"/>
            <w:noWrap w:val="0"/>
            <w:vAlign w:val="center"/>
          </w:tcPr>
          <w:p w14:paraId="64206678">
            <w:pPr>
              <w:keepNext w:val="0"/>
              <w:keepLines w:val="0"/>
              <w:widowControl/>
              <w:suppressLineNumbers w:val="0"/>
              <w:jc w:val="center"/>
              <w:textAlignment w:val="center"/>
              <w:rPr>
                <w:rFonts w:hint="default" w:ascii="Times New Roman" w:hAnsi="Times New Roman" w:eastAsia="宋体"/>
                <w:lang w:val="en-US" w:eastAsia="zh-CN"/>
              </w:rPr>
            </w:pPr>
            <w:r>
              <w:rPr>
                <w:rFonts w:hint="eastAsia" w:ascii="Times New Roman" w:hAnsi="Times New Roman" w:eastAsia="宋体" w:cs="宋体"/>
                <w:i w:val="0"/>
                <w:iCs w:val="0"/>
                <w:color w:val="000000"/>
                <w:kern w:val="0"/>
                <w:sz w:val="20"/>
                <w:szCs w:val="20"/>
                <w:u w:val="none"/>
                <w:lang w:val="en-US" w:eastAsia="zh-CN" w:bidi="ar"/>
              </w:rPr>
              <w:t>0.0053</w:t>
            </w:r>
          </w:p>
        </w:tc>
        <w:tc>
          <w:tcPr>
            <w:tcW w:w="765" w:type="dxa"/>
            <w:noWrap w:val="0"/>
            <w:vAlign w:val="center"/>
          </w:tcPr>
          <w:p w14:paraId="4A55F9B7">
            <w:pPr>
              <w:keepNext w:val="0"/>
              <w:keepLines w:val="0"/>
              <w:widowControl/>
              <w:suppressLineNumbers w:val="0"/>
              <w:jc w:val="center"/>
              <w:textAlignment w:val="center"/>
              <w:rPr>
                <w:rFonts w:hint="default" w:ascii="Times New Roman" w:hAnsi="Times New Roman" w:eastAsia="宋体" w:cs="宋体"/>
                <w:spacing w:val="-2"/>
                <w:kern w:val="2"/>
                <w:sz w:val="20"/>
                <w:szCs w:val="20"/>
                <w:lang w:val="en-US" w:eastAsia="zh-CN" w:bidi="ar-SA"/>
              </w:rPr>
            </w:pPr>
            <w:r>
              <w:rPr>
                <w:rFonts w:hint="eastAsia" w:ascii="Times New Roman" w:hAnsi="Times New Roman" w:eastAsia="宋体" w:cs="宋体"/>
                <w:i w:val="0"/>
                <w:iCs w:val="0"/>
                <w:color w:val="000000"/>
                <w:kern w:val="0"/>
                <w:sz w:val="20"/>
                <w:szCs w:val="20"/>
                <w:u w:val="none"/>
                <w:lang w:val="en-US" w:eastAsia="zh-CN" w:bidi="ar"/>
              </w:rPr>
              <w:t>0.2630</w:t>
            </w:r>
          </w:p>
        </w:tc>
        <w:tc>
          <w:tcPr>
            <w:tcW w:w="825" w:type="dxa"/>
            <w:noWrap w:val="0"/>
            <w:vAlign w:val="center"/>
          </w:tcPr>
          <w:p w14:paraId="7E241FF7">
            <w:pPr>
              <w:keepNext w:val="0"/>
              <w:keepLines w:val="0"/>
              <w:widowControl/>
              <w:suppressLineNumbers w:val="0"/>
              <w:jc w:val="center"/>
              <w:textAlignment w:val="center"/>
              <w:rPr>
                <w:rFonts w:hint="default" w:ascii="Times New Roman" w:hAnsi="Times New Roman"/>
                <w:lang w:val="en-US"/>
              </w:rPr>
            </w:pPr>
            <w:r>
              <w:rPr>
                <w:rFonts w:hint="eastAsia" w:ascii="Times New Roman" w:hAnsi="Times New Roman" w:eastAsia="宋体" w:cs="宋体"/>
                <w:i w:val="0"/>
                <w:iCs w:val="0"/>
                <w:color w:val="000000"/>
                <w:kern w:val="0"/>
                <w:sz w:val="20"/>
                <w:szCs w:val="20"/>
                <w:u w:val="none"/>
                <w:lang w:val="en-US" w:eastAsia="zh-CN" w:bidi="ar"/>
              </w:rPr>
              <w:t>0.240</w:t>
            </w:r>
          </w:p>
        </w:tc>
        <w:tc>
          <w:tcPr>
            <w:tcW w:w="840" w:type="dxa"/>
            <w:noWrap w:val="0"/>
            <w:vAlign w:val="center"/>
          </w:tcPr>
          <w:p w14:paraId="33FC893D">
            <w:pPr>
              <w:keepNext w:val="0"/>
              <w:keepLines w:val="0"/>
              <w:widowControl/>
              <w:suppressLineNumbers w:val="0"/>
              <w:jc w:val="center"/>
              <w:textAlignment w:val="center"/>
              <w:rPr>
                <w:rFonts w:hint="default" w:ascii="Times New Roman" w:hAnsi="Times New Roman" w:eastAsia="宋体"/>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0.006</w:t>
            </w:r>
          </w:p>
        </w:tc>
        <w:tc>
          <w:tcPr>
            <w:tcW w:w="810" w:type="dxa"/>
            <w:noWrap w:val="0"/>
            <w:vAlign w:val="center"/>
          </w:tcPr>
          <w:p w14:paraId="763A9704">
            <w:pPr>
              <w:keepNext w:val="0"/>
              <w:keepLines w:val="0"/>
              <w:widowControl/>
              <w:suppressLineNumbers w:val="0"/>
              <w:jc w:val="center"/>
              <w:textAlignment w:val="center"/>
              <w:rPr>
                <w:rFonts w:hint="default" w:ascii="Times New Roman" w:hAnsi="Times New Roman"/>
                <w:spacing w:val="-2"/>
                <w:lang w:val="en-US" w:eastAsia="zh-CN"/>
              </w:rPr>
            </w:pPr>
            <w:r>
              <w:rPr>
                <w:rFonts w:hint="eastAsia" w:ascii="Times New Roman" w:hAnsi="Times New Roman" w:eastAsia="宋体" w:cs="宋体"/>
                <w:i w:val="0"/>
                <w:iCs w:val="0"/>
                <w:color w:val="000000"/>
                <w:kern w:val="0"/>
                <w:sz w:val="20"/>
                <w:szCs w:val="20"/>
                <w:u w:val="none"/>
                <w:lang w:val="en-US" w:eastAsia="zh-CN" w:bidi="ar"/>
              </w:rPr>
              <w:t>0.246</w:t>
            </w:r>
          </w:p>
        </w:tc>
      </w:tr>
    </w:tbl>
    <w:p w14:paraId="35E6A25C">
      <w:pPr>
        <w:keepNext w:val="0"/>
        <w:keepLines w:val="0"/>
        <w:pageBreakBefore w:val="0"/>
        <w:widowControl w:val="0"/>
        <w:kinsoku/>
        <w:wordWrap/>
        <w:overflowPunct/>
        <w:topLinePunct w:val="0"/>
        <w:autoSpaceDE/>
        <w:autoSpaceDN/>
        <w:bidi w:val="0"/>
        <w:adjustRightInd/>
        <w:snapToGrid/>
        <w:spacing w:line="40" w:lineRule="exact"/>
        <w:textAlignment w:val="auto"/>
        <w:rPr>
          <w:rFonts w:ascii="Times New Roman" w:hAnsi="Times New Roman" w:eastAsia="Arial" w:cs="Arial"/>
          <w:sz w:val="21"/>
          <w:szCs w:val="21"/>
        </w:rPr>
      </w:pPr>
    </w:p>
    <w:p w14:paraId="05C66CF2">
      <w:pPr>
        <w:rPr>
          <w:rFonts w:ascii="Times New Roman" w:hAnsi="Times New Roman" w:eastAsia="Arial" w:cs="Arial"/>
          <w:sz w:val="21"/>
          <w:szCs w:val="21"/>
        </w:rPr>
        <w:sectPr>
          <w:pgSz w:w="16740" w:h="11840"/>
          <w:pgMar w:top="1006" w:right="1194" w:bottom="0" w:left="1004" w:header="0" w:footer="1417" w:gutter="0"/>
          <w:pgNumType w:fmt="decimal"/>
          <w:cols w:space="720" w:num="1"/>
        </w:sectPr>
      </w:pPr>
    </w:p>
    <w:tbl>
      <w:tblPr>
        <w:tblStyle w:val="18"/>
        <w:tblW w:w="144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1"/>
        <w:gridCol w:w="609"/>
        <w:gridCol w:w="13239"/>
      </w:tblGrid>
      <w:tr w14:paraId="07F8D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9" w:hRule="atLeast"/>
          <w:jc w:val="center"/>
        </w:trPr>
        <w:tc>
          <w:tcPr>
            <w:tcW w:w="631" w:type="dxa"/>
            <w:tcBorders>
              <w:top w:val="single" w:color="auto" w:sz="4" w:space="0"/>
              <w:left w:val="single" w:color="auto" w:sz="4" w:space="0"/>
            </w:tcBorders>
            <w:noWrap w:val="0"/>
            <w:vAlign w:val="center"/>
          </w:tcPr>
          <w:p w14:paraId="5150FC43">
            <w:pPr>
              <w:pStyle w:val="16"/>
              <w:spacing w:before="65" w:line="221" w:lineRule="auto"/>
              <w:jc w:val="center"/>
              <w:rPr>
                <w:rFonts w:ascii="Times New Roman" w:hAnsi="Times New Roman"/>
              </w:rPr>
            </w:pPr>
            <w:r>
              <w:rPr>
                <w:rFonts w:ascii="Times New Roman" w:hAnsi="Times New Roman"/>
                <w:spacing w:val="13"/>
              </w:rPr>
              <w:t>农业</w:t>
            </w:r>
          </w:p>
          <w:p w14:paraId="100C8E2A">
            <w:pPr>
              <w:pStyle w:val="16"/>
              <w:spacing w:before="38" w:line="219" w:lineRule="auto"/>
              <w:ind w:left="65"/>
              <w:jc w:val="center"/>
              <w:rPr>
                <w:rFonts w:ascii="Times New Roman" w:hAnsi="Times New Roman"/>
              </w:rPr>
            </w:pPr>
            <w:r>
              <w:rPr>
                <w:rFonts w:ascii="Times New Roman" w:hAnsi="Times New Roman"/>
                <w:spacing w:val="14"/>
              </w:rPr>
              <w:t>用水</w:t>
            </w:r>
          </w:p>
          <w:p w14:paraId="2EA56BD3">
            <w:pPr>
              <w:pStyle w:val="16"/>
              <w:spacing w:before="60" w:line="218" w:lineRule="auto"/>
              <w:ind w:left="65"/>
              <w:jc w:val="center"/>
              <w:rPr>
                <w:rFonts w:ascii="Times New Roman" w:hAnsi="Times New Roman"/>
              </w:rPr>
            </w:pPr>
            <w:r>
              <w:rPr>
                <w:rFonts w:ascii="Times New Roman" w:hAnsi="Times New Roman"/>
                <w:spacing w:val="14"/>
              </w:rPr>
              <w:t>水价</w:t>
            </w:r>
          </w:p>
        </w:tc>
        <w:tc>
          <w:tcPr>
            <w:tcW w:w="609" w:type="dxa"/>
            <w:tcBorders>
              <w:top w:val="single" w:color="auto" w:sz="4" w:space="0"/>
              <w:bottom w:val="nil"/>
              <w:right w:val="single" w:color="auto" w:sz="4" w:space="0"/>
            </w:tcBorders>
            <w:noWrap w:val="0"/>
            <w:vAlign w:val="center"/>
          </w:tcPr>
          <w:p w14:paraId="2C91F6D4">
            <w:pPr>
              <w:pStyle w:val="16"/>
              <w:spacing w:before="51" w:line="220" w:lineRule="auto"/>
              <w:jc w:val="center"/>
              <w:rPr>
                <w:rFonts w:hint="default" w:ascii="Times New Roman" w:hAnsi="Times New Roman" w:eastAsia="宋体"/>
                <w:lang w:val="en-US" w:eastAsia="zh-CN"/>
              </w:rPr>
            </w:pPr>
            <w:r>
              <w:rPr>
                <w:rFonts w:hint="eastAsia" w:ascii="Times New Roman" w:hAnsi="Times New Roman"/>
                <w:lang w:val="en-US" w:eastAsia="zh-CN"/>
              </w:rPr>
              <w:t>高标准农田</w:t>
            </w:r>
          </w:p>
        </w:tc>
        <w:tc>
          <w:tcPr>
            <w:tcW w:w="13239" w:type="dxa"/>
            <w:tcBorders>
              <w:left w:val="single" w:color="auto" w:sz="4" w:space="0"/>
            </w:tcBorders>
            <w:noWrap w:val="0"/>
            <w:vAlign w:val="center"/>
          </w:tcPr>
          <w:p w14:paraId="33691BA4">
            <w:pPr>
              <w:pStyle w:val="1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宋体"/>
                <w:color w:val="auto"/>
                <w:spacing w:val="-2"/>
                <w:kern w:val="2"/>
                <w:sz w:val="20"/>
                <w:szCs w:val="20"/>
                <w:lang w:val="en-US" w:eastAsia="zh-CN" w:bidi="ar-SA"/>
              </w:rPr>
            </w:pPr>
            <w:r>
              <w:rPr>
                <w:rFonts w:hint="eastAsia" w:ascii="Times New Roman" w:hAnsi="Times New Roman" w:cs="宋体"/>
                <w:color w:val="auto"/>
                <w:spacing w:val="-2"/>
                <w:kern w:val="2"/>
                <w:sz w:val="20"/>
                <w:szCs w:val="20"/>
                <w:lang w:val="en-US" w:eastAsia="zh-CN" w:bidi="ar-SA"/>
              </w:rPr>
              <w:t>各县（市）严格按照《自治区发展改革委等部门关于推动农业水价综合改革全面收官的通知》（新发改农价</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eastAsia="宋体" w:cs="宋体"/>
                <w:color w:val="auto"/>
                <w:spacing w:val="-2"/>
                <w:kern w:val="2"/>
                <w:sz w:val="20"/>
                <w:szCs w:val="20"/>
                <w:lang w:val="en-US" w:eastAsia="zh-CN" w:bidi="ar-SA"/>
              </w:rPr>
              <w:t>2025</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eastAsia="宋体" w:cs="宋体"/>
                <w:color w:val="auto"/>
                <w:spacing w:val="-2"/>
                <w:kern w:val="2"/>
                <w:sz w:val="20"/>
                <w:szCs w:val="20"/>
                <w:lang w:val="en-US" w:eastAsia="zh-CN" w:bidi="ar-SA"/>
              </w:rPr>
              <w:t>236</w:t>
            </w:r>
            <w:r>
              <w:rPr>
                <w:rFonts w:hint="eastAsia" w:ascii="Times New Roman" w:hAnsi="Times New Roman" w:cs="宋体"/>
                <w:color w:val="auto"/>
                <w:spacing w:val="-2"/>
                <w:kern w:val="2"/>
                <w:sz w:val="20"/>
                <w:szCs w:val="20"/>
                <w:lang w:val="en-US" w:eastAsia="zh-CN" w:bidi="ar-SA"/>
              </w:rPr>
              <w:t>号）要求，按照“斗口计量水价×（</w:t>
            </w:r>
            <w:r>
              <w:rPr>
                <w:rFonts w:hint="eastAsia" w:ascii="Times New Roman" w:hAnsi="Times New Roman" w:eastAsia="宋体" w:cs="宋体"/>
                <w:color w:val="auto"/>
                <w:spacing w:val="-2"/>
                <w:kern w:val="2"/>
                <w:sz w:val="20"/>
                <w:szCs w:val="20"/>
                <w:lang w:val="en-US" w:eastAsia="zh-CN" w:bidi="ar-SA"/>
              </w:rPr>
              <w:t>1</w:t>
            </w:r>
            <w:r>
              <w:rPr>
                <w:rFonts w:hint="eastAsia" w:ascii="Times New Roman" w:hAnsi="Times New Roman" w:cs="宋体"/>
                <w:color w:val="auto"/>
                <w:spacing w:val="-2"/>
                <w:kern w:val="2"/>
                <w:sz w:val="20"/>
                <w:szCs w:val="20"/>
                <w:lang w:val="en-US" w:eastAsia="zh-CN" w:bidi="ar-SA"/>
              </w:rPr>
              <w:t>+合理漏损率）”的定价模式，探索制定高标准农田计量水价。</w:t>
            </w:r>
          </w:p>
        </w:tc>
      </w:tr>
      <w:tr w14:paraId="49256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4" w:hRule="atLeast"/>
          <w:jc w:val="center"/>
        </w:trPr>
        <w:tc>
          <w:tcPr>
            <w:tcW w:w="631" w:type="dxa"/>
            <w:vMerge w:val="restart"/>
            <w:tcBorders>
              <w:left w:val="single" w:color="auto" w:sz="4" w:space="0"/>
            </w:tcBorders>
            <w:noWrap w:val="0"/>
            <w:vAlign w:val="center"/>
          </w:tcPr>
          <w:p w14:paraId="1C49D4E1">
            <w:pPr>
              <w:jc w:val="center"/>
              <w:rPr>
                <w:rFonts w:ascii="Times New Roman" w:hAnsi="Times New Roman"/>
                <w:sz w:val="21"/>
              </w:rPr>
            </w:pPr>
            <w:r>
              <w:rPr>
                <w:rFonts w:hint="eastAsia" w:ascii="Times New Roman" w:hAnsi="Times New Roman"/>
                <w:sz w:val="21"/>
              </w:rPr>
              <w:t>非农业用水执行水价</w:t>
            </w:r>
          </w:p>
        </w:tc>
        <w:tc>
          <w:tcPr>
            <w:tcW w:w="609" w:type="dxa"/>
            <w:tcBorders>
              <w:right w:val="single" w:color="auto" w:sz="4" w:space="0"/>
            </w:tcBorders>
            <w:noWrap w:val="0"/>
            <w:vAlign w:val="center"/>
          </w:tcPr>
          <w:p w14:paraId="1B587920">
            <w:pPr>
              <w:jc w:val="center"/>
              <w:rPr>
                <w:rFonts w:hint="default" w:ascii="Times New Roman" w:hAnsi="Times New Roman" w:eastAsia="宋体" w:cs="宋体"/>
                <w:kern w:val="2"/>
                <w:sz w:val="20"/>
                <w:szCs w:val="20"/>
                <w:lang w:val="en-US" w:eastAsia="zh-CN" w:bidi="ar-SA"/>
              </w:rPr>
            </w:pPr>
            <w:r>
              <w:rPr>
                <w:rFonts w:hint="eastAsia" w:ascii="Times New Roman" w:hAnsi="Times New Roman" w:eastAsia="宋体" w:cs="宋体"/>
                <w:kern w:val="2"/>
                <w:sz w:val="20"/>
                <w:szCs w:val="20"/>
                <w:lang w:val="en-US" w:eastAsia="zh-CN" w:bidi="ar-SA"/>
              </w:rPr>
              <w:t>水产养殖</w:t>
            </w:r>
          </w:p>
        </w:tc>
        <w:tc>
          <w:tcPr>
            <w:tcW w:w="13239" w:type="dxa"/>
            <w:tcBorders>
              <w:left w:val="single" w:color="auto" w:sz="4" w:space="0"/>
            </w:tcBorders>
            <w:noWrap w:val="0"/>
            <w:vAlign w:val="center"/>
          </w:tcPr>
          <w:p w14:paraId="7419BB12">
            <w:pPr>
              <w:jc w:val="center"/>
              <w:rPr>
                <w:rFonts w:hint="default" w:ascii="Times New Roman" w:hAnsi="Times New Roman"/>
                <w:color w:val="auto"/>
                <w:spacing w:val="-2"/>
                <w:lang w:val="en-US" w:eastAsia="zh-CN"/>
              </w:rPr>
            </w:pPr>
            <w:r>
              <w:rPr>
                <w:rFonts w:hint="eastAsia" w:ascii="Times New Roman" w:hAnsi="Times New Roman" w:cs="宋体"/>
                <w:color w:val="auto"/>
                <w:spacing w:val="-2"/>
                <w:kern w:val="2"/>
                <w:sz w:val="20"/>
                <w:szCs w:val="20"/>
                <w:lang w:val="en-US" w:eastAsia="zh-CN" w:bidi="ar-SA"/>
              </w:rPr>
              <w:t>各县（市）严格按照《关于印发</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cs="宋体"/>
                <w:color w:val="auto"/>
                <w:spacing w:val="-2"/>
                <w:kern w:val="2"/>
                <w:sz w:val="20"/>
                <w:szCs w:val="20"/>
                <w:lang w:val="en-US" w:eastAsia="zh-CN" w:bidi="ar-SA"/>
              </w:rPr>
              <w:t>新疆维吾尔自治区水利工程供水价格管理办法</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cs="宋体"/>
                <w:color w:val="auto"/>
                <w:spacing w:val="-2"/>
                <w:kern w:val="2"/>
                <w:sz w:val="20"/>
                <w:szCs w:val="20"/>
                <w:lang w:val="en-US" w:eastAsia="zh-CN" w:bidi="ar-SA"/>
              </w:rPr>
              <w:t>的通知》（新发改农价</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eastAsia="宋体" w:cs="宋体"/>
                <w:color w:val="auto"/>
                <w:spacing w:val="-2"/>
                <w:kern w:val="2"/>
                <w:sz w:val="20"/>
                <w:szCs w:val="20"/>
                <w:lang w:val="en-US" w:eastAsia="zh-CN" w:bidi="ar-SA"/>
              </w:rPr>
              <w:t>2024</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eastAsia="宋体" w:cs="宋体"/>
                <w:color w:val="auto"/>
                <w:spacing w:val="-2"/>
                <w:kern w:val="2"/>
                <w:sz w:val="20"/>
                <w:szCs w:val="20"/>
                <w:lang w:val="en-US" w:eastAsia="zh-CN" w:bidi="ar-SA"/>
              </w:rPr>
              <w:t>189</w:t>
            </w:r>
            <w:r>
              <w:rPr>
                <w:rFonts w:hint="eastAsia" w:ascii="Times New Roman" w:hAnsi="Times New Roman" w:cs="宋体"/>
                <w:color w:val="auto"/>
                <w:spacing w:val="-2"/>
                <w:kern w:val="2"/>
                <w:sz w:val="20"/>
                <w:szCs w:val="20"/>
                <w:lang w:val="en-US" w:eastAsia="zh-CN" w:bidi="ar-SA"/>
              </w:rPr>
              <w:t>号）要求，水利工程供水产养殖用水价格按经济作物用水价格执行，利用水利工程水域养殖的用水价格可按效益分享的原则确定。</w:t>
            </w:r>
          </w:p>
        </w:tc>
      </w:tr>
      <w:tr w14:paraId="13176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jc w:val="center"/>
        </w:trPr>
        <w:tc>
          <w:tcPr>
            <w:tcW w:w="631" w:type="dxa"/>
            <w:vMerge w:val="continue"/>
            <w:tcBorders>
              <w:left w:val="single" w:color="auto" w:sz="4" w:space="0"/>
            </w:tcBorders>
            <w:noWrap w:val="0"/>
            <w:vAlign w:val="top"/>
          </w:tcPr>
          <w:p w14:paraId="5DF413D0">
            <w:pPr>
              <w:rPr>
                <w:rFonts w:ascii="Times New Roman" w:hAnsi="Times New Roman"/>
                <w:sz w:val="21"/>
              </w:rPr>
            </w:pPr>
          </w:p>
        </w:tc>
        <w:tc>
          <w:tcPr>
            <w:tcW w:w="609" w:type="dxa"/>
            <w:tcBorders>
              <w:right w:val="single" w:color="auto" w:sz="4" w:space="0"/>
            </w:tcBorders>
            <w:noWrap w:val="0"/>
            <w:vAlign w:val="center"/>
          </w:tcPr>
          <w:p w14:paraId="4F29D8DA">
            <w:pPr>
              <w:jc w:val="center"/>
              <w:rPr>
                <w:rFonts w:hint="default" w:ascii="Times New Roman" w:hAnsi="Times New Roman" w:eastAsia="宋体" w:cs="宋体"/>
                <w:kern w:val="2"/>
                <w:sz w:val="20"/>
                <w:szCs w:val="20"/>
                <w:lang w:val="en-US" w:eastAsia="zh-CN" w:bidi="ar-SA"/>
              </w:rPr>
            </w:pPr>
            <w:r>
              <w:rPr>
                <w:rFonts w:hint="eastAsia" w:ascii="Times New Roman" w:hAnsi="Times New Roman" w:eastAsia="宋体" w:cs="宋体"/>
                <w:kern w:val="2"/>
                <w:sz w:val="20"/>
                <w:szCs w:val="20"/>
                <w:lang w:val="en-US" w:eastAsia="zh-CN" w:bidi="ar-SA"/>
              </w:rPr>
              <w:t>其他行业</w:t>
            </w:r>
          </w:p>
        </w:tc>
        <w:tc>
          <w:tcPr>
            <w:tcW w:w="13239" w:type="dxa"/>
            <w:tcBorders>
              <w:left w:val="single" w:color="auto" w:sz="4" w:space="0"/>
            </w:tcBorders>
            <w:noWrap w:val="0"/>
            <w:vAlign w:val="center"/>
          </w:tcPr>
          <w:p w14:paraId="1C41D106">
            <w:pPr>
              <w:jc w:val="center"/>
              <w:rPr>
                <w:rFonts w:hint="eastAsia" w:ascii="Times New Roman" w:hAnsi="Times New Roman" w:cs="宋体"/>
                <w:color w:val="auto"/>
                <w:spacing w:val="-2"/>
                <w:kern w:val="2"/>
                <w:sz w:val="20"/>
                <w:szCs w:val="20"/>
                <w:lang w:val="en-US" w:eastAsia="zh-CN" w:bidi="ar-SA"/>
              </w:rPr>
            </w:pPr>
            <w:r>
              <w:rPr>
                <w:rFonts w:hint="eastAsia" w:ascii="Times New Roman" w:hAnsi="Times New Roman" w:cs="宋体"/>
                <w:color w:val="auto"/>
                <w:spacing w:val="-2"/>
                <w:kern w:val="2"/>
                <w:sz w:val="20"/>
                <w:szCs w:val="20"/>
                <w:lang w:val="en-US" w:eastAsia="zh-CN" w:bidi="ar-SA"/>
              </w:rPr>
              <w:t>各县（市）严格按照《关于印发</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cs="宋体"/>
                <w:color w:val="auto"/>
                <w:spacing w:val="-2"/>
                <w:kern w:val="2"/>
                <w:sz w:val="20"/>
                <w:szCs w:val="20"/>
                <w:lang w:val="en-US" w:eastAsia="zh-CN" w:bidi="ar-SA"/>
              </w:rPr>
              <w:t>新疆维吾尔自治区水利工程供水价格管理办法</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cs="宋体"/>
                <w:color w:val="auto"/>
                <w:spacing w:val="-2"/>
                <w:kern w:val="2"/>
                <w:sz w:val="20"/>
                <w:szCs w:val="20"/>
                <w:lang w:val="en-US" w:eastAsia="zh-CN" w:bidi="ar-SA"/>
              </w:rPr>
              <w:t>的通知》（新发改农价〔2024〕189号）要求，水利工程供水其行业的消耗水按供水部分全部投资确定，贯流水按消耗水用水价格的</w:t>
            </w:r>
            <w:r>
              <w:rPr>
                <w:rFonts w:hint="eastAsia" w:ascii="Times New Roman" w:hAnsi="Times New Roman" w:eastAsia="宋体" w:cs="宋体"/>
                <w:color w:val="auto"/>
                <w:spacing w:val="-2"/>
                <w:kern w:val="2"/>
                <w:sz w:val="20"/>
                <w:szCs w:val="20"/>
                <w:lang w:val="en-US" w:eastAsia="zh-CN" w:bidi="ar-SA"/>
              </w:rPr>
              <w:t>30</w:t>
            </w:r>
            <w:r>
              <w:rPr>
                <w:rFonts w:hint="eastAsia" w:ascii="Times New Roman" w:hAnsi="Times New Roman" w:cs="宋体"/>
                <w:color w:val="auto"/>
                <w:spacing w:val="-2"/>
                <w:kern w:val="2"/>
                <w:sz w:val="20"/>
                <w:szCs w:val="20"/>
                <w:lang w:val="en-US" w:eastAsia="zh-CN" w:bidi="ar-SA"/>
              </w:rPr>
              <w:t>%—</w:t>
            </w:r>
            <w:r>
              <w:rPr>
                <w:rFonts w:hint="eastAsia" w:ascii="Times New Roman" w:hAnsi="Times New Roman" w:eastAsia="宋体" w:cs="宋体"/>
                <w:color w:val="auto"/>
                <w:spacing w:val="-2"/>
                <w:kern w:val="2"/>
                <w:sz w:val="20"/>
                <w:szCs w:val="20"/>
                <w:lang w:val="en-US" w:eastAsia="zh-CN" w:bidi="ar-SA"/>
              </w:rPr>
              <w:t>50</w:t>
            </w:r>
            <w:r>
              <w:rPr>
                <w:rFonts w:hint="eastAsia" w:ascii="Times New Roman" w:hAnsi="Times New Roman" w:cs="宋体"/>
                <w:color w:val="auto"/>
                <w:spacing w:val="-2"/>
                <w:kern w:val="2"/>
                <w:sz w:val="20"/>
                <w:szCs w:val="20"/>
                <w:lang w:val="en-US" w:eastAsia="zh-CN" w:bidi="ar-SA"/>
              </w:rPr>
              <w:t>%确定，循环水按消耗水用水价格的</w:t>
            </w:r>
            <w:r>
              <w:rPr>
                <w:rFonts w:hint="eastAsia" w:ascii="Times New Roman" w:hAnsi="Times New Roman" w:eastAsia="宋体" w:cs="宋体"/>
                <w:color w:val="auto"/>
                <w:spacing w:val="-2"/>
                <w:kern w:val="2"/>
                <w:sz w:val="20"/>
                <w:szCs w:val="20"/>
                <w:lang w:val="en-US" w:eastAsia="zh-CN" w:bidi="ar-SA"/>
              </w:rPr>
              <w:t>15</w:t>
            </w:r>
            <w:r>
              <w:rPr>
                <w:rFonts w:hint="eastAsia" w:ascii="Times New Roman" w:hAnsi="Times New Roman" w:cs="宋体"/>
                <w:color w:val="auto"/>
                <w:spacing w:val="-2"/>
                <w:kern w:val="2"/>
                <w:sz w:val="20"/>
                <w:szCs w:val="20"/>
                <w:lang w:val="en-US" w:eastAsia="zh-CN" w:bidi="ar-SA"/>
              </w:rPr>
              <w:t>%—</w:t>
            </w:r>
            <w:r>
              <w:rPr>
                <w:rFonts w:hint="eastAsia" w:ascii="Times New Roman" w:hAnsi="Times New Roman" w:eastAsia="宋体" w:cs="宋体"/>
                <w:color w:val="auto"/>
                <w:spacing w:val="-2"/>
                <w:kern w:val="2"/>
                <w:sz w:val="20"/>
                <w:szCs w:val="20"/>
                <w:lang w:val="en-US" w:eastAsia="zh-CN" w:bidi="ar-SA"/>
              </w:rPr>
              <w:t>25</w:t>
            </w:r>
            <w:r>
              <w:rPr>
                <w:rFonts w:hint="eastAsia" w:ascii="Times New Roman" w:hAnsi="Times New Roman" w:cs="宋体"/>
                <w:color w:val="auto"/>
                <w:spacing w:val="-2"/>
                <w:kern w:val="2"/>
                <w:sz w:val="20"/>
                <w:szCs w:val="20"/>
                <w:lang w:val="en-US" w:eastAsia="zh-CN" w:bidi="ar-SA"/>
              </w:rPr>
              <w:t>%确定。</w:t>
            </w:r>
          </w:p>
        </w:tc>
      </w:tr>
      <w:tr w14:paraId="6FA65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jc w:val="center"/>
        </w:trPr>
        <w:tc>
          <w:tcPr>
            <w:tcW w:w="631" w:type="dxa"/>
            <w:vMerge w:val="continue"/>
            <w:tcBorders>
              <w:left w:val="single" w:color="auto" w:sz="4" w:space="0"/>
            </w:tcBorders>
            <w:noWrap w:val="0"/>
            <w:vAlign w:val="top"/>
          </w:tcPr>
          <w:p w14:paraId="735EC743">
            <w:pPr>
              <w:rPr>
                <w:rFonts w:ascii="Times New Roman" w:hAnsi="Times New Roman"/>
                <w:sz w:val="21"/>
              </w:rPr>
            </w:pPr>
          </w:p>
        </w:tc>
        <w:tc>
          <w:tcPr>
            <w:tcW w:w="609" w:type="dxa"/>
            <w:tcBorders>
              <w:right w:val="single" w:color="auto" w:sz="4" w:space="0"/>
            </w:tcBorders>
            <w:noWrap w:val="0"/>
            <w:vAlign w:val="center"/>
          </w:tcPr>
          <w:p w14:paraId="1C8B551D">
            <w:pPr>
              <w:jc w:val="center"/>
              <w:rPr>
                <w:rFonts w:hint="default" w:ascii="Times New Roman" w:hAnsi="Times New Roman" w:eastAsia="宋体" w:cs="宋体"/>
                <w:kern w:val="2"/>
                <w:sz w:val="20"/>
                <w:szCs w:val="20"/>
                <w:lang w:val="en-US" w:eastAsia="zh-CN" w:bidi="ar-SA"/>
              </w:rPr>
            </w:pPr>
            <w:r>
              <w:rPr>
                <w:rFonts w:hint="eastAsia" w:ascii="Times New Roman" w:hAnsi="Times New Roman" w:eastAsia="宋体" w:cs="宋体"/>
                <w:kern w:val="2"/>
                <w:sz w:val="20"/>
                <w:szCs w:val="20"/>
                <w:lang w:val="en-US" w:eastAsia="zh-CN" w:bidi="ar-SA"/>
              </w:rPr>
              <w:t>水力发电、生态用水</w:t>
            </w:r>
          </w:p>
        </w:tc>
        <w:tc>
          <w:tcPr>
            <w:tcW w:w="13239" w:type="dxa"/>
            <w:tcBorders>
              <w:left w:val="single" w:color="auto" w:sz="4" w:space="0"/>
            </w:tcBorders>
            <w:noWrap w:val="0"/>
            <w:vAlign w:val="center"/>
          </w:tcPr>
          <w:p w14:paraId="7A375F59">
            <w:pPr>
              <w:jc w:val="center"/>
              <w:rPr>
                <w:rFonts w:hint="eastAsia" w:ascii="Times New Roman" w:hAnsi="Times New Roman" w:cs="宋体"/>
                <w:color w:val="auto"/>
                <w:spacing w:val="-2"/>
                <w:kern w:val="2"/>
                <w:sz w:val="20"/>
                <w:szCs w:val="20"/>
                <w:lang w:val="en-US" w:eastAsia="zh-CN" w:bidi="ar-SA"/>
              </w:rPr>
            </w:pPr>
            <w:r>
              <w:rPr>
                <w:rFonts w:hint="eastAsia" w:ascii="Times New Roman" w:hAnsi="Times New Roman" w:cs="宋体"/>
                <w:color w:val="auto"/>
                <w:spacing w:val="-2"/>
                <w:kern w:val="2"/>
                <w:sz w:val="20"/>
                <w:szCs w:val="20"/>
                <w:lang w:val="en-US" w:eastAsia="zh-CN" w:bidi="ar-SA"/>
              </w:rPr>
              <w:t>各县（市）严格按照《关于印发</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cs="宋体"/>
                <w:color w:val="auto"/>
                <w:spacing w:val="-2"/>
                <w:kern w:val="2"/>
                <w:sz w:val="20"/>
                <w:szCs w:val="20"/>
                <w:lang w:val="en-US" w:eastAsia="zh-CN" w:bidi="ar-SA"/>
              </w:rPr>
              <w:t>新疆维吾尔自治区水利工程供水价格管理办法</w:t>
            </w:r>
            <w:r>
              <w:rPr>
                <w:rFonts w:hint="eastAsia" w:ascii="Times New Roman" w:hAnsi="Times New Roman" w:eastAsia="方正仿宋_GBK" w:cs="方正仿宋_GBK"/>
                <w:color w:val="auto"/>
                <w:spacing w:val="-2"/>
                <w:kern w:val="2"/>
                <w:sz w:val="20"/>
                <w:szCs w:val="20"/>
                <w:lang w:val="en-US" w:eastAsia="zh-CN" w:bidi="ar-SA"/>
              </w:rPr>
              <w:t>〉</w:t>
            </w:r>
            <w:r>
              <w:rPr>
                <w:rFonts w:hint="eastAsia" w:ascii="Times New Roman" w:hAnsi="Times New Roman" w:cs="宋体"/>
                <w:color w:val="auto"/>
                <w:spacing w:val="-2"/>
                <w:kern w:val="2"/>
                <w:sz w:val="20"/>
                <w:szCs w:val="20"/>
                <w:lang w:val="en-US" w:eastAsia="zh-CN" w:bidi="ar-SA"/>
              </w:rPr>
              <w:t>的通知》（新发改农价〔2024〕189号）要求，水利工程供水力发电用水价格和生态用水价格由供需双方协商确定，生态用水价格参考供水成本协商。</w:t>
            </w:r>
          </w:p>
        </w:tc>
      </w:tr>
      <w:tr w14:paraId="58486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jc w:val="center"/>
        </w:trPr>
        <w:tc>
          <w:tcPr>
            <w:tcW w:w="14479" w:type="dxa"/>
            <w:gridSpan w:val="3"/>
            <w:tcBorders>
              <w:left w:val="single" w:color="auto" w:sz="4" w:space="0"/>
              <w:bottom w:val="single" w:color="auto" w:sz="4" w:space="0"/>
            </w:tcBorders>
            <w:noWrap w:val="0"/>
            <w:vAlign w:val="center"/>
          </w:tcPr>
          <w:p w14:paraId="1C848249">
            <w:pPr>
              <w:jc w:val="center"/>
              <w:rPr>
                <w:rFonts w:hint="default" w:ascii="Times New Roman" w:hAnsi="Times New Roman" w:cs="宋体"/>
                <w:spacing w:val="-2"/>
                <w:kern w:val="2"/>
                <w:sz w:val="20"/>
                <w:szCs w:val="20"/>
                <w:lang w:val="en-US" w:eastAsia="zh-CN" w:bidi="ar-SA"/>
              </w:rPr>
            </w:pPr>
            <w:r>
              <w:rPr>
                <w:rFonts w:hint="eastAsia" w:ascii="Times New Roman" w:hAnsi="Times New Roman" w:cs="宋体"/>
                <w:spacing w:val="-2"/>
                <w:kern w:val="2"/>
                <w:sz w:val="20"/>
                <w:szCs w:val="20"/>
                <w:lang w:val="en-US" w:eastAsia="zh-CN" w:bidi="ar-SA"/>
              </w:rPr>
              <w:t>注：.水价中均不含水资源税，水资源税征收标准按《关于新疆维吾尔自治区</w:t>
            </w:r>
            <w:r>
              <w:rPr>
                <w:rFonts w:hint="eastAsia" w:ascii="Times New Roman" w:hAnsi="Times New Roman" w:cs="宋体"/>
                <w:color w:val="auto"/>
                <w:spacing w:val="-2"/>
                <w:kern w:val="2"/>
                <w:sz w:val="20"/>
                <w:szCs w:val="20"/>
                <w:lang w:val="en-US" w:eastAsia="zh-CN" w:bidi="ar-SA"/>
              </w:rPr>
              <w:t>水资源税改革试点有关事项的通知》（新财法税〔2024〕9号）、《关于自治区水资源税改革试点农业生产取用水限额有关事项的通知》（新水厅〔2025〕38号）执行。</w:t>
            </w:r>
          </w:p>
        </w:tc>
      </w:tr>
    </w:tbl>
    <w:p w14:paraId="6A781979">
      <w:pPr>
        <w:rPr>
          <w:rFonts w:ascii="Times New Roman" w:hAnsi="Times New Roman"/>
        </w:rPr>
        <w:sectPr>
          <w:pgSz w:w="16838" w:h="11906" w:orient="landscape"/>
          <w:pgMar w:top="1800" w:right="1440" w:bottom="1800" w:left="1440" w:header="851" w:footer="992" w:gutter="0"/>
          <w:pgNumType w:fmt="decimal"/>
          <w:cols w:space="720" w:num="1"/>
          <w:docGrid w:type="lines" w:linePitch="312" w:charSpace="0"/>
        </w:sectPr>
      </w:pPr>
    </w:p>
    <w:p w14:paraId="08101D47">
      <w:pPr>
        <w:pStyle w:val="2"/>
      </w:pPr>
    </w:p>
    <w:p w14:paraId="487F124E">
      <w:pPr>
        <w:pStyle w:val="3"/>
      </w:pPr>
    </w:p>
    <w:p w14:paraId="0F75B1C1">
      <w:pPr>
        <w:pStyle w:val="4"/>
      </w:pPr>
    </w:p>
    <w:p w14:paraId="019E95D2"/>
    <w:p w14:paraId="58FC07CF">
      <w:pPr>
        <w:pStyle w:val="2"/>
      </w:pPr>
    </w:p>
    <w:p w14:paraId="362DF4DD">
      <w:pPr>
        <w:pStyle w:val="3"/>
      </w:pPr>
    </w:p>
    <w:p w14:paraId="535BBD26">
      <w:pPr>
        <w:pStyle w:val="4"/>
      </w:pPr>
    </w:p>
    <w:p w14:paraId="1CA6F947"/>
    <w:p w14:paraId="4EA2F731">
      <w:pPr>
        <w:pStyle w:val="2"/>
      </w:pPr>
    </w:p>
    <w:p w14:paraId="4610C3DC">
      <w:pPr>
        <w:pStyle w:val="3"/>
      </w:pPr>
    </w:p>
    <w:p w14:paraId="3D10B4EA">
      <w:pPr>
        <w:pStyle w:val="4"/>
      </w:pPr>
    </w:p>
    <w:p w14:paraId="1B26FF06"/>
    <w:p w14:paraId="0F323E82">
      <w:pPr>
        <w:pStyle w:val="2"/>
      </w:pPr>
    </w:p>
    <w:p w14:paraId="0C7DB57D">
      <w:pPr>
        <w:pStyle w:val="3"/>
      </w:pPr>
    </w:p>
    <w:p w14:paraId="1DEA4FFD">
      <w:pPr>
        <w:pStyle w:val="4"/>
      </w:pPr>
    </w:p>
    <w:p w14:paraId="51E69F90"/>
    <w:p w14:paraId="4DB3EEB5">
      <w:pPr>
        <w:pStyle w:val="2"/>
      </w:pPr>
    </w:p>
    <w:p w14:paraId="1D14C1D9">
      <w:pPr>
        <w:pStyle w:val="3"/>
      </w:pPr>
    </w:p>
    <w:p w14:paraId="69D79613">
      <w:pPr>
        <w:pStyle w:val="4"/>
      </w:pPr>
    </w:p>
    <w:p w14:paraId="343FC4ED"/>
    <w:p w14:paraId="3062220D">
      <w:pPr>
        <w:pStyle w:val="2"/>
      </w:pPr>
    </w:p>
    <w:p w14:paraId="40D4E0A0">
      <w:pPr>
        <w:pStyle w:val="2"/>
      </w:pPr>
    </w:p>
    <w:p w14:paraId="2A1BF64B">
      <w:pPr>
        <w:pStyle w:val="3"/>
      </w:pPr>
    </w:p>
    <w:p w14:paraId="7DC50B33">
      <w:pPr>
        <w:pStyle w:val="4"/>
      </w:pPr>
    </w:p>
    <w:p w14:paraId="77E1DE33"/>
    <w:p w14:paraId="7539C6F7">
      <w:pPr>
        <w:pStyle w:val="2"/>
      </w:pPr>
    </w:p>
    <w:p w14:paraId="02065C4B">
      <w:pPr>
        <w:pStyle w:val="3"/>
      </w:pPr>
    </w:p>
    <w:p w14:paraId="0133C58E">
      <w:pPr>
        <w:pStyle w:val="4"/>
      </w:pPr>
    </w:p>
    <w:p w14:paraId="61552CA5"/>
    <w:p w14:paraId="3CC6682B">
      <w:pPr>
        <w:pStyle w:val="2"/>
        <w:sectPr>
          <w:footerReference r:id="rId4" w:type="default"/>
          <w:pgSz w:w="11906" w:h="16838"/>
          <w:pgMar w:top="2098" w:right="1531" w:bottom="1984" w:left="1531" w:header="851" w:footer="992" w:gutter="0"/>
          <w:pgNumType w:fmt="decimal"/>
          <w:cols w:space="0" w:num="1"/>
          <w:rtlGutter w:val="0"/>
          <w:docGrid w:type="lines" w:linePitch="312" w:charSpace="0"/>
        </w:sectPr>
      </w:pPr>
    </w:p>
    <w:p w14:paraId="021698CC">
      <w:pPr>
        <w:pStyle w:val="3"/>
      </w:pPr>
    </w:p>
    <w:p w14:paraId="19FB2513">
      <w:pPr>
        <w:pStyle w:val="3"/>
      </w:pPr>
    </w:p>
    <w:p w14:paraId="019260F7">
      <w:pPr>
        <w:pStyle w:val="4"/>
      </w:pPr>
    </w:p>
    <w:p w14:paraId="73595B48"/>
    <w:p w14:paraId="49FEF8DF">
      <w:pPr>
        <w:pStyle w:val="2"/>
      </w:pPr>
    </w:p>
    <w:p w14:paraId="4A7A939C">
      <w:pPr>
        <w:pStyle w:val="3"/>
      </w:pPr>
    </w:p>
    <w:p w14:paraId="6AEC59D8">
      <w:pPr>
        <w:pStyle w:val="4"/>
      </w:pPr>
    </w:p>
    <w:p w14:paraId="28D0C01C"/>
    <w:p w14:paraId="1F47EEDF">
      <w:pPr>
        <w:pStyle w:val="2"/>
      </w:pPr>
    </w:p>
    <w:p w14:paraId="176C0C3E">
      <w:pPr>
        <w:pStyle w:val="3"/>
      </w:pPr>
    </w:p>
    <w:p w14:paraId="22E60323">
      <w:pPr>
        <w:pStyle w:val="4"/>
      </w:pPr>
    </w:p>
    <w:p w14:paraId="2EABF98C"/>
    <w:p w14:paraId="182A763D">
      <w:pPr>
        <w:pStyle w:val="2"/>
      </w:pPr>
    </w:p>
    <w:p w14:paraId="29303212">
      <w:pPr>
        <w:pStyle w:val="3"/>
      </w:pPr>
    </w:p>
    <w:p w14:paraId="52248ABC">
      <w:pPr>
        <w:pStyle w:val="4"/>
      </w:pPr>
    </w:p>
    <w:p w14:paraId="1DA196D4"/>
    <w:p w14:paraId="08C12636">
      <w:pPr>
        <w:pStyle w:val="2"/>
      </w:pPr>
    </w:p>
    <w:p w14:paraId="07BAA531">
      <w:pPr>
        <w:pStyle w:val="3"/>
      </w:pPr>
    </w:p>
    <w:p w14:paraId="51F8630B">
      <w:pPr>
        <w:pStyle w:val="4"/>
      </w:pPr>
    </w:p>
    <w:p w14:paraId="7B167AF7"/>
    <w:p w14:paraId="7623C72F">
      <w:pPr>
        <w:pStyle w:val="2"/>
      </w:pPr>
    </w:p>
    <w:p w14:paraId="1B30B903">
      <w:pPr>
        <w:pStyle w:val="4"/>
        <w:ind w:left="0" w:leftChars="0" w:firstLine="0" w:firstLineChars="0"/>
      </w:pPr>
    </w:p>
    <w:p w14:paraId="4F53FE4B">
      <w:pPr>
        <w:pStyle w:val="4"/>
      </w:pPr>
    </w:p>
    <w:p w14:paraId="634E8055">
      <w:pPr>
        <w:rPr>
          <w:rFonts w:hint="eastAsia" w:eastAsia="宋体"/>
          <w:lang w:eastAsia="zh-CN"/>
        </w:rPr>
      </w:pPr>
    </w:p>
    <w:p w14:paraId="69F4F8F8">
      <w:pPr>
        <w:pStyle w:val="5"/>
        <w:keepNext w:val="0"/>
        <w:keepLines w:val="0"/>
        <w:pageBreakBefore w:val="0"/>
        <w:widowControl w:val="0"/>
        <w:pBdr>
          <w:bottom w:val="single" w:color="auto" w:sz="4" w:space="0"/>
        </w:pBdr>
        <w:kinsoku/>
        <w:wordWrap/>
        <w:overflowPunct/>
        <w:topLinePunct w:val="0"/>
        <w:autoSpaceDE/>
        <w:autoSpaceDN/>
        <w:bidi w:val="0"/>
        <w:adjustRightInd/>
        <w:snapToGrid/>
        <w:spacing w:before="0" w:beforeLines="0" w:beforeAutospacing="0" w:after="0" w:afterLines="0" w:afterAutospacing="0" w:line="560" w:lineRule="exact"/>
        <w:textAlignment w:val="auto"/>
        <w:rPr>
          <w:rFonts w:hint="default"/>
          <w:lang w:val="en-US" w:eastAsia="zh-CN"/>
        </w:rPr>
      </w:pPr>
    </w:p>
    <w:p w14:paraId="61C7937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firstLine="280" w:firstLineChars="100"/>
        <w:jc w:val="both"/>
        <w:textAlignment w:val="auto"/>
        <w:rPr>
          <w:rFonts w:hint="eastAsia" w:ascii="Times New Roman" w:hAnsi="Times New Roman" w:eastAsia="仿宋_GB2312" w:cs="仿宋_GB2312"/>
          <w:sz w:val="28"/>
          <w:szCs w:val="28"/>
          <w:lang w:val="en-US" w:eastAsia="zh-CN"/>
        </w:rPr>
      </w:pPr>
      <w:r>
        <w:rPr>
          <w:rFonts w:hint="eastAsia" w:ascii="Times New Roman" w:hAnsi="Times New Roman" w:eastAsia="仿宋_GB2312" w:cs="仿宋_GB2312"/>
          <w:sz w:val="28"/>
          <w:szCs w:val="28"/>
          <w:lang w:val="en-US" w:eastAsia="zh-CN"/>
        </w:rPr>
        <w:t>抄送：州党办，人大办，政协办，中级人民法院，人民检察院。</w:t>
      </w:r>
    </w:p>
    <w:p w14:paraId="065BEC20">
      <w:pPr>
        <w:pStyle w:val="11"/>
        <w:keepNext w:val="0"/>
        <w:keepLines w:val="0"/>
        <w:pageBreakBefore w:val="0"/>
        <w:widowControl w:val="0"/>
        <w:numPr>
          <w:ilvl w:val="0"/>
          <w:numId w:val="0"/>
        </w:numPr>
        <w:pBdr>
          <w:top w:val="single" w:color="auto" w:sz="4" w:space="0"/>
          <w:left w:val="none" w:color="auto" w:sz="0" w:space="0"/>
          <w:bottom w:val="single" w:color="auto" w:sz="4" w:space="0"/>
          <w:right w:val="none" w:color="auto" w:sz="0" w:space="0"/>
        </w:pBdr>
        <w:kinsoku/>
        <w:wordWrap/>
        <w:overflowPunct/>
        <w:topLinePunct w:val="0"/>
        <w:autoSpaceDE/>
        <w:autoSpaceDN/>
        <w:bidi w:val="0"/>
        <w:adjustRightInd/>
        <w:snapToGrid/>
        <w:spacing w:line="500" w:lineRule="exact"/>
        <w:ind w:left="0" w:leftChars="0" w:firstLine="210" w:firstLineChars="100"/>
        <w:textAlignment w:val="auto"/>
      </w:pPr>
      <w:r>
        <w:rPr>
          <w:rFonts w:hint="eastAsia" w:eastAsia="宋体"/>
          <w:lang w:eastAsia="zh-CN"/>
        </w:rPr>
        <w:drawing>
          <wp:anchor distT="0" distB="0" distL="114300" distR="114300" simplePos="0" relativeHeight="251660288" behindDoc="1" locked="0" layoutInCell="1" allowOverlap="1">
            <wp:simplePos x="0" y="0"/>
            <wp:positionH relativeFrom="column">
              <wp:posOffset>3695700</wp:posOffset>
            </wp:positionH>
            <wp:positionV relativeFrom="paragraph">
              <wp:posOffset>451485</wp:posOffset>
            </wp:positionV>
            <wp:extent cx="1790700" cy="704850"/>
            <wp:effectExtent l="0" t="0" r="0" b="0"/>
            <wp:wrapTight wrapText="bothSides">
              <wp:wrapPolygon>
                <wp:start x="0" y="0"/>
                <wp:lineTo x="0" y="21016"/>
                <wp:lineTo x="21370" y="21016"/>
                <wp:lineTo x="21370" y="0"/>
                <wp:lineTo x="0" y="0"/>
              </wp:wrapPolygon>
            </wp:wrapTight>
            <wp:docPr id="1" name="图片 1" descr="1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号"/>
                    <pic:cNvPicPr>
                      <a:picLocks noChangeAspect="1"/>
                    </pic:cNvPicPr>
                  </pic:nvPicPr>
                  <pic:blipFill>
                    <a:blip r:embed="rId7"/>
                    <a:stretch>
                      <a:fillRect/>
                    </a:stretch>
                  </pic:blipFill>
                  <pic:spPr>
                    <a:xfrm>
                      <a:off x="0" y="0"/>
                      <a:ext cx="1790700" cy="704850"/>
                    </a:xfrm>
                    <a:prstGeom prst="rect">
                      <a:avLst/>
                    </a:prstGeom>
                  </pic:spPr>
                </pic:pic>
              </a:graphicData>
            </a:graphic>
          </wp:anchor>
        </w:drawing>
      </w:r>
      <w:r>
        <w:rPr>
          <w:rFonts w:hint="eastAsia" w:ascii="Times New Roman" w:hAnsi="Times New Roman" w:eastAsia="仿宋_GB2312" w:cs="仿宋_GB2312"/>
          <w:spacing w:val="0"/>
          <w:sz w:val="28"/>
          <w:szCs w:val="28"/>
          <w:lang w:eastAsia="zh-CN"/>
        </w:rPr>
        <w:t>克孜勒苏柯尔克孜自治州人民政府办公室</w:t>
      </w:r>
      <w:r>
        <w:rPr>
          <w:rFonts w:hint="eastAsia" w:ascii="Times New Roman" w:hAnsi="Times New Roman" w:eastAsia="仿宋_GB2312" w:cs="仿宋_GB2312"/>
          <w:spacing w:val="0"/>
          <w:sz w:val="28"/>
          <w:szCs w:val="28"/>
          <w:lang w:val="en-US" w:eastAsia="zh-CN"/>
        </w:rPr>
        <w:t xml:space="preserve">   </w:t>
      </w:r>
      <w:r>
        <w:rPr>
          <w:rFonts w:hint="default" w:ascii="Times New Roman" w:hAnsi="Times New Roman" w:eastAsia="仿宋_GB2312" w:cs="Times New Roman"/>
          <w:spacing w:val="0"/>
          <w:sz w:val="28"/>
          <w:szCs w:val="28"/>
          <w:lang w:val="en-US"/>
        </w:rPr>
        <w:t xml:space="preserve"> 20</w:t>
      </w:r>
      <w:r>
        <w:rPr>
          <w:rFonts w:hint="default" w:ascii="Times New Roman" w:hAnsi="Times New Roman" w:eastAsia="仿宋_GB2312" w:cs="Times New Roman"/>
          <w:spacing w:val="0"/>
          <w:sz w:val="28"/>
          <w:szCs w:val="28"/>
          <w:lang w:val="en-US" w:eastAsia="zh-CN"/>
        </w:rPr>
        <w:t>2</w:t>
      </w:r>
      <w:r>
        <w:rPr>
          <w:rFonts w:hint="eastAsia" w:ascii="Times New Roman" w:hAnsi="Times New Roman" w:eastAsia="仿宋_GB2312" w:cs="Times New Roman"/>
          <w:spacing w:val="0"/>
          <w:sz w:val="28"/>
          <w:szCs w:val="28"/>
          <w:lang w:val="en-US" w:eastAsia="zh-CN"/>
        </w:rPr>
        <w:t>6</w:t>
      </w:r>
      <w:r>
        <w:rPr>
          <w:rFonts w:hint="default" w:ascii="Times New Roman" w:hAnsi="Times New Roman" w:eastAsia="仿宋_GB2312" w:cs="Times New Roman"/>
          <w:spacing w:val="0"/>
          <w:sz w:val="28"/>
          <w:szCs w:val="28"/>
          <w:lang w:eastAsia="zh-CN"/>
        </w:rPr>
        <w:t>年</w:t>
      </w:r>
      <w:r>
        <w:rPr>
          <w:rFonts w:hint="eastAsia" w:ascii="Times New Roman" w:hAnsi="Times New Roman" w:cs="Times New Roman"/>
          <w:spacing w:val="0"/>
          <w:sz w:val="28"/>
          <w:szCs w:val="28"/>
          <w:lang w:val="en-US" w:eastAsia="zh-CN"/>
        </w:rPr>
        <w:t>9</w:t>
      </w:r>
      <w:r>
        <w:rPr>
          <w:rFonts w:hint="default" w:ascii="Times New Roman" w:hAnsi="Times New Roman" w:eastAsia="仿宋_GB2312" w:cs="Times New Roman"/>
          <w:spacing w:val="0"/>
          <w:sz w:val="28"/>
          <w:szCs w:val="28"/>
          <w:lang w:eastAsia="zh-CN"/>
        </w:rPr>
        <w:t>月</w:t>
      </w:r>
      <w:r>
        <w:rPr>
          <w:rFonts w:hint="default" w:ascii="Times New Roman" w:hAnsi="Times New Roman" w:cs="Times New Roman"/>
          <w:spacing w:val="0"/>
          <w:sz w:val="28"/>
          <w:szCs w:val="28"/>
          <w:lang w:val="en-US" w:eastAsia="zh-CN"/>
        </w:rPr>
        <w:t>2</w:t>
      </w:r>
      <w:r>
        <w:rPr>
          <w:rFonts w:hint="eastAsia" w:ascii="Times New Roman" w:hAnsi="Times New Roman" w:cs="Times New Roman"/>
          <w:spacing w:val="0"/>
          <w:sz w:val="28"/>
          <w:szCs w:val="28"/>
          <w:lang w:val="en-US" w:eastAsia="zh-CN"/>
        </w:rPr>
        <w:t>4</w:t>
      </w:r>
      <w:r>
        <w:rPr>
          <w:rFonts w:hint="default" w:ascii="Times New Roman" w:hAnsi="Times New Roman" w:eastAsia="仿宋_GB2312" w:cs="Times New Roman"/>
          <w:spacing w:val="0"/>
          <w:sz w:val="28"/>
          <w:szCs w:val="28"/>
          <w:lang w:eastAsia="zh-CN"/>
        </w:rPr>
        <w:t>日印</w:t>
      </w:r>
      <w:r>
        <w:rPr>
          <w:rFonts w:hint="eastAsia" w:ascii="Times New Roman" w:hAnsi="Times New Roman" w:eastAsia="仿宋_GB2312" w:cs="仿宋_GB2312"/>
          <w:spacing w:val="0"/>
          <w:sz w:val="28"/>
          <w:szCs w:val="28"/>
          <w:lang w:eastAsia="zh-CN"/>
        </w:rPr>
        <w:t>发</w:t>
      </w:r>
    </w:p>
    <w:sectPr>
      <w:footerReference r:id="rId5" w:type="default"/>
      <w:pgSz w:w="11906" w:h="16838"/>
      <w:pgMar w:top="2098" w:right="1531" w:bottom="1984"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B7961">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AD48FAF">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1AD48FAF">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06C28F">
                          <w:pPr>
                            <w:pStyle w:val="9"/>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1706C28F">
                    <w:pPr>
                      <w:pStyle w:val="9"/>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F6A38">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5632778">
                          <w:pPr>
                            <w:pStyle w:val="9"/>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25632778">
                    <w:pPr>
                      <w:pStyle w:val="9"/>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A3A2B">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8100BD9">
                          <w:pPr>
                            <w:pStyle w:val="9"/>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68100BD9">
                    <w:pPr>
                      <w:pStyle w:val="9"/>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6AA03C"/>
    <w:multiLevelType w:val="singleLevel"/>
    <w:tmpl w:val="2C6AA03C"/>
    <w:lvl w:ilvl="0" w:tentative="0">
      <w:start w:val="1"/>
      <w:numFmt w:val="decimal"/>
      <w:pStyle w:val="11"/>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2EA9CE"/>
    <w:rsid w:val="09EA1DE5"/>
    <w:rsid w:val="154404AF"/>
    <w:rsid w:val="15987754"/>
    <w:rsid w:val="1E3B6C45"/>
    <w:rsid w:val="256F7DAC"/>
    <w:rsid w:val="2CFC605B"/>
    <w:rsid w:val="376C781C"/>
    <w:rsid w:val="388F5F0B"/>
    <w:rsid w:val="39DB30AB"/>
    <w:rsid w:val="3B2EA9CE"/>
    <w:rsid w:val="3DBA80CB"/>
    <w:rsid w:val="431A4D45"/>
    <w:rsid w:val="500478D6"/>
    <w:rsid w:val="65342024"/>
    <w:rsid w:val="67FF4446"/>
    <w:rsid w:val="6A15437B"/>
    <w:rsid w:val="6F567629"/>
    <w:rsid w:val="708114D4"/>
    <w:rsid w:val="72391355"/>
    <w:rsid w:val="7FAF603D"/>
    <w:rsid w:val="E3A9AE06"/>
    <w:rsid w:val="EFE7D565"/>
    <w:rsid w:val="F39D63E4"/>
    <w:rsid w:val="FFEF1A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3"/>
    <w:basedOn w:val="1"/>
    <w:next w:val="1"/>
    <w:qFormat/>
    <w:uiPriority w:val="0"/>
    <w:pPr>
      <w:widowControl/>
      <w:spacing w:beforeAutospacing="1" w:afterAutospacing="1"/>
      <w:jc w:val="left"/>
      <w:outlineLvl w:val="2"/>
    </w:pPr>
    <w:rPr>
      <w:rFonts w:ascii="宋体" w:hAnsi="Times New Roman" w:eastAsia="宋体" w:cs="宋体"/>
      <w:b/>
      <w:bCs/>
      <w:kern w:val="0"/>
      <w:sz w:val="27"/>
      <w:szCs w:val="27"/>
      <w:lang w:val="en-US" w:eastAsia="zh-CN" w:bidi="ar-SA"/>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w:basedOn w:val="1"/>
    <w:next w:val="4"/>
    <w:semiHidden/>
    <w:qFormat/>
    <w:uiPriority w:val="0"/>
    <w:rPr>
      <w:rFonts w:ascii="宋体" w:hAnsi="宋体" w:eastAsia="宋体" w:cs="宋体"/>
      <w:sz w:val="32"/>
      <w:szCs w:val="32"/>
      <w:lang w:val="en-US" w:eastAsia="en-US" w:bidi="ar-SA"/>
    </w:rPr>
  </w:style>
  <w:style w:type="paragraph" w:styleId="4">
    <w:name w:val="Body Text First Indent"/>
    <w:basedOn w:val="3"/>
    <w:next w:val="1"/>
    <w:qFormat/>
    <w:uiPriority w:val="0"/>
    <w:pPr>
      <w:spacing w:beforeLines="0" w:afterLines="0"/>
      <w:ind w:firstLine="420" w:firstLineChars="100"/>
    </w:pPr>
    <w:rPr>
      <w:rFonts w:hint="eastAsia"/>
      <w:sz w:val="44"/>
      <w:szCs w:val="24"/>
    </w:rPr>
  </w:style>
  <w:style w:type="paragraph" w:styleId="6">
    <w:name w:val="Normal Indent"/>
    <w:basedOn w:val="1"/>
    <w:next w:val="1"/>
    <w:qFormat/>
    <w:uiPriority w:val="0"/>
    <w:pPr>
      <w:widowControl w:val="0"/>
      <w:ind w:firstLine="200" w:firstLineChars="200"/>
      <w:jc w:val="both"/>
    </w:pPr>
    <w:rPr>
      <w:rFonts w:ascii="Calibri" w:hAnsi="Calibri" w:eastAsia="宋体" w:cs="Times New Roman"/>
      <w:kern w:val="2"/>
      <w:sz w:val="32"/>
      <w:szCs w:val="24"/>
      <w:lang w:val="en-US" w:eastAsia="zh-CN" w:bidi="ar-SA"/>
    </w:rPr>
  </w:style>
  <w:style w:type="paragraph" w:styleId="7">
    <w:name w:val="Body Text Indent"/>
    <w:basedOn w:val="1"/>
    <w:next w:val="8"/>
    <w:qFormat/>
    <w:uiPriority w:val="0"/>
    <w:pPr>
      <w:spacing w:after="120" w:afterLines="0"/>
      <w:ind w:left="420" w:leftChars="200"/>
    </w:pPr>
    <w:rPr>
      <w:rFonts w:ascii="Times New Roman" w:hAnsi="Times New Roman" w:eastAsia="宋体" w:cs="Times New Roman"/>
      <w:kern w:val="0"/>
      <w:sz w:val="24"/>
      <w:szCs w:val="20"/>
    </w:rPr>
  </w:style>
  <w:style w:type="paragraph" w:customStyle="1" w:styleId="8">
    <w:name w:val="Char Char Char"/>
    <w:basedOn w:val="1"/>
    <w:qFormat/>
    <w:uiPriority w:val="0"/>
    <w:rPr>
      <w:sz w:val="21"/>
      <w:szCs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Number 5"/>
    <w:basedOn w:val="1"/>
    <w:qFormat/>
    <w:uiPriority w:val="0"/>
    <w:pPr>
      <w:numPr>
        <w:ilvl w:val="0"/>
        <w:numId w:val="1"/>
      </w:numPr>
    </w:p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3">
    <w:name w:val="Body Text First Indent 2"/>
    <w:basedOn w:val="7"/>
    <w:next w:val="1"/>
    <w:qFormat/>
    <w:uiPriority w:val="0"/>
    <w:pPr>
      <w:tabs>
        <w:tab w:val="left" w:pos="180"/>
        <w:tab w:val="left" w:pos="540"/>
      </w:tabs>
      <w:ind w:firstLine="420" w:firstLineChars="200"/>
    </w:pPr>
  </w:style>
  <w:style w:type="paragraph" w:customStyle="1" w:styleId="16">
    <w:name w:val="Table Text"/>
    <w:basedOn w:val="1"/>
    <w:semiHidden/>
    <w:qFormat/>
    <w:uiPriority w:val="0"/>
    <w:rPr>
      <w:rFonts w:ascii="宋体" w:hAnsi="宋体" w:eastAsia="宋体" w:cs="宋体"/>
      <w:sz w:val="20"/>
      <w:szCs w:val="20"/>
      <w:lang w:val="en-US" w:eastAsia="en-US" w:bidi="ar-SA"/>
    </w:rPr>
  </w:style>
  <w:style w:type="character" w:customStyle="1" w:styleId="17">
    <w:name w:val="font11"/>
    <w:basedOn w:val="15"/>
    <w:qFormat/>
    <w:uiPriority w:val="0"/>
    <w:rPr>
      <w:rFonts w:hint="eastAsia" w:ascii="宋体" w:hAnsi="宋体" w:eastAsia="宋体" w:cs="宋体"/>
      <w:color w:val="000000"/>
      <w:sz w:val="20"/>
      <w:szCs w:val="20"/>
      <w:u w:val="none"/>
    </w:rPr>
  </w:style>
  <w:style w:type="table" w:customStyle="1" w:styleId="1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29" textRotate="1"/>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4622</Words>
  <Characters>5207</Characters>
  <Lines>0</Lines>
  <Paragraphs>0</Paragraphs>
  <TotalTime>54</TotalTime>
  <ScaleCrop>false</ScaleCrop>
  <LinksUpToDate>false</LinksUpToDate>
  <CharactersWithSpaces>5299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2026-09-18T19:02:00Z</dcterms:created>
  <dc:creator>uos</dc:creator>
  <cp:lastModifiedBy>请叫我提百万^_^</cp:lastModifiedBy>
  <cp:lastPrinted>2026-09-28T19:10:00Z</cp:lastPrinted>
  <dcterms:modified xsi:type="dcterms:W3CDTF">2026-09-29T03:08:47Z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5BE7B4A7EB984787A515396251BEA05C_13</vt:lpwstr>
  </property>
  <property fmtid="{D5CDD505-2E9C-101B-9397-08002B2CF9AE}" pid="4" name="KSOTemplateDocerSaveRecord">
    <vt:lpwstr>eyJoZGlkIjoiNDVmNGRkZTI4ZTc3Yjk1ZDUxNzlmOTVjMjVmODI1YTIiLCJ1c2VySWQiOiIxMTMyOTE4NzQ0In0=</vt:lpwstr>
  </property>
</Properties>
</file>