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spacing w:val="12"/>
        </w:rPr>
      </w:pPr>
    </w:p>
    <w:p>
      <w:pPr>
        <w:pStyle w:val="2"/>
        <w:rPr>
          <w:rFonts w:ascii="仿宋_GB2312" w:hAnsi="仿宋_GB2312"/>
          <w:spacing w:val="12"/>
        </w:rPr>
      </w:pPr>
    </w:p>
    <w:p/>
    <w:p>
      <w:pPr>
        <w:tabs>
          <w:tab w:val="left" w:pos="4500"/>
        </w:tabs>
        <w:spacing w:line="660" w:lineRule="exact"/>
        <w:ind w:firstLine="0" w:firstLineChars="0"/>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克政办发〔202</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rPr>
        <w:t>〕</w:t>
      </w:r>
      <w:r>
        <w:rPr>
          <w:rFonts w:hint="eastAsia" w:ascii="仿宋_GB2312" w:hAnsi="仿宋_GB2312" w:cs="仿宋_GB2312"/>
          <w:spacing w:val="12"/>
          <w:sz w:val="32"/>
          <w:szCs w:val="32"/>
          <w:lang w:val="en-US" w:eastAsia="zh-CN"/>
        </w:rPr>
        <w:t>24</w:t>
      </w:r>
      <w:r>
        <w:rPr>
          <w:rFonts w:hint="eastAsia" w:ascii="仿宋_GB2312" w:hAnsi="仿宋_GB2312" w:eastAsia="仿宋_GB2312" w:cs="仿宋_GB2312"/>
          <w:spacing w:val="12"/>
          <w:sz w:val="32"/>
          <w:szCs w:val="32"/>
        </w:rPr>
        <w:t>号</w:t>
      </w:r>
    </w:p>
    <w:p>
      <w:pPr>
        <w:tabs>
          <w:tab w:val="left" w:pos="8400"/>
        </w:tabs>
        <w:spacing w:line="500" w:lineRule="exact"/>
        <w:rPr>
          <w:rFonts w:ascii="方正小标宋简体" w:hAnsi="方正小标宋简体" w:eastAsia="方正小标宋简体" w:cs="方正小标宋简体"/>
          <w:sz w:val="44"/>
          <w:szCs w:val="44"/>
        </w:rPr>
      </w:pPr>
    </w:p>
    <w:p>
      <w:pPr>
        <w:pStyle w:val="12"/>
        <w:keepNext w:val="0"/>
        <w:keepLines w:val="0"/>
        <w:pageBreakBefore w:val="0"/>
        <w:kinsoku/>
        <w:wordWrap/>
        <w:topLinePunct w:val="0"/>
        <w:bidi w:val="0"/>
        <w:snapToGrid/>
        <w:spacing w:after="0" w:line="520"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关于印发《克孜勒苏柯尔克孜自治州人民政府2023年度行政立法工作计划》的通知</w:t>
      </w:r>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Calibri"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val="0"/>
          <w:bCs w:val="0"/>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val="0"/>
          <w:bCs w:val="0"/>
          <w:sz w:val="32"/>
          <w:szCs w:val="32"/>
          <w:lang w:val="en-US" w:eastAsia="zh-CN"/>
        </w:rPr>
        <w:t>《克孜勒苏柯尔克孜自治州人民政府2023年度行政立法工作计划》已经自治州人民政府同意，现印发给你们，请认真贯彻执行。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880" w:firstLineChars="900"/>
        <w:jc w:val="both"/>
        <w:textAlignment w:val="auto"/>
        <w:rPr>
          <w:rFonts w:hint="eastAsia" w:ascii="仿宋_GB2312" w:hAnsi="Calibri"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2880" w:firstLineChars="900"/>
        <w:jc w:val="both"/>
        <w:textAlignment w:val="auto"/>
        <w:rPr>
          <w:rFonts w:hint="eastAsia" w:ascii="仿宋_GB2312" w:hAnsi="Calibri"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2880" w:firstLineChars="900"/>
        <w:jc w:val="both"/>
        <w:textAlignment w:val="auto"/>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val="0"/>
          <w:bCs w:val="0"/>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0" w:firstLineChars="1500"/>
        <w:jc w:val="both"/>
        <w:textAlignment w:val="auto"/>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val="0"/>
          <w:bCs w:val="0"/>
          <w:sz w:val="32"/>
          <w:szCs w:val="32"/>
          <w:lang w:val="en-US" w:eastAsia="zh-CN"/>
        </w:rPr>
        <w:t>2023年6月27日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克孜勒苏柯尔克孜自治州人民政府2023年度行政立法工作计划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Calibri"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为深入推进科学立法、民主立法、依法立法，根据《中华人民共和国立法法》《自治区人民政府行政立法工作规定》（政府令第213号）</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b w:val="0"/>
          <w:bCs w:val="0"/>
          <w:sz w:val="32"/>
          <w:szCs w:val="32"/>
          <w:lang w:val="en-US" w:eastAsia="zh-CN"/>
        </w:rPr>
        <w:t>，结合克州经济社会发展实际，制定本工作计划。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学习贯彻党的二十大精神，全面贯彻习近平法治思想，完整准确贯彻新时代党的治疆方略，贯彻落实第二十八次全国地方立法工作座谈会精神，学习贯彻中央、自治区、自治州党委人大工作会议精神，牢牢扭住社会稳定和长治久安总目标，扎实推进事关长治久安的根本性、基础性、长远性工作，坚持党的领导，坚持人民至上，坚持新发展理念，坚持党委领导、人大主导、政府依托、各方参与的立法工作格局，聚焦大局所需、群众所盼、问题所在，深入推进科学立法、民主立法、依法立法，着力提高立法质量和效率，以高质量立法推动高质量发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二、项目安排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2023年度行政立法工作计划安排拟提请自治州人大常委会审议立法项目3件，立法调研预备项目2件。具体如下：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pacing w:val="-6"/>
          <w:sz w:val="32"/>
          <w:szCs w:val="32"/>
          <w:lang w:val="en-US" w:eastAsia="zh-CN"/>
        </w:rPr>
        <w:t>拟提请自治州人大常委会审议的地方性法规项目（3件）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pacing w:val="-17"/>
          <w:sz w:val="32"/>
          <w:szCs w:val="32"/>
          <w:lang w:val="en-US" w:eastAsia="zh-CN"/>
        </w:rPr>
        <w:t>《克孜勒苏柯尔克孜自治州加强矿业权监督管理的决定（草案）》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2.《克孜勒苏柯尔克孜自治州施工现场管理条例（草案）》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3.《克孜勒苏柯尔克孜自治州阿图什无花果产业高质量发展促进条例（草案）》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（二）调研预备的地方性法规项目（2件）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pacing w:val="-17"/>
          <w:sz w:val="32"/>
          <w:szCs w:val="32"/>
          <w:lang w:val="en-US" w:eastAsia="zh-CN"/>
        </w:rPr>
        <w:t>《克孜勒苏柯尔克孜自治州城市机动车停车场管理条例（草案）》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pacing w:val="-11"/>
          <w:sz w:val="32"/>
          <w:szCs w:val="32"/>
          <w:lang w:val="en-US" w:eastAsia="zh-CN"/>
        </w:rPr>
        <w:t>《克孜勒苏柯尔克孜自治州餐饮服务业污染防治条例（草案）》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（一）加强立法组织保障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项目责任单位要深刻认识立法工作的重要性和严肃性，按照《新疆维吾尔自治区人民政府行政立法工作规定》及时报送工作方案，强化对计划实施工作的组织领导和统筹协调，主要领导要高度重视法规草案调研起草工作，夯实主体责任，增强紧迫感和责任感。对列入立法工作计划的提请审议项目、调研预备项目，法规草案起草责任单位要将其纳入年度责任目标，按时高质量完成工作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（二）切实提高立法质量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法规起草、审查、修改过程中，法规项目责任单位要紧紧围绕自治州党委中心工作和人民群众关注的热点问题，坚决贯彻落实中央、自治区党委决策部署，结合自治州实际，深入开展立法调研论证，细化规范工作程序，自治州司法局要严格按照立法相关工作要求督促法规项目责任单位履行法定程序，确保法规草案高质量落地实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（三）贯彻人民民主理念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项目责任单位和自治州司法局在工作中，要坚持以人民为中心，不断拓展和健全人民群众有序参与立法、表达意愿关切的途径形式，广泛征求意见建议，把全过程人民民主理念贯彻到地方立法全过程、各方面，倾听民声、汇聚民意、凝聚民心，积极回应人民群众的新要求、新期待，系统研究和解决人民群众反应强烈的突出问题，做到制定出台的每一件地方性法规都装满民意，切实增强全州人民群众的获得感、幸福感、安全感。</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（四）强化联系沟通协调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规草案责任（起草）部门要把握工作进度，加强与自治州人民政府办公室、自治州司法局及相关部门的联系沟通，密切配合。对涉及其他部门职责、职权的内容，要与相关部门充分协商、沟通，在报送材料时一并说明对相关意见建议的处理情况。各有关部门要积极参与，研究、协调解决立法工作中的重大问题，形成立法工作合力，提高立法工作质量和效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仿宋_GB2312" w:eastAsia="仿宋_GB2312" w:cs="仿宋_GB2312"/>
          <w:sz w:val="32"/>
          <w:szCs w:val="32"/>
          <w:lang w:val="en-US" w:eastAsia="zh-CN"/>
        </w:rPr>
        <w:sectPr>
          <w:headerReference r:id="rId3" w:type="default"/>
          <w:footerReference r:id="rId4" w:type="default"/>
          <w:pgSz w:w="11906" w:h="16838"/>
          <w:pgMar w:top="2098" w:right="1531" w:bottom="1984" w:left="1531" w:header="1134" w:footer="1134" w:gutter="0"/>
          <w:pgNumType w:fmt="decimal"/>
          <w:cols w:space="720" w:num="1"/>
          <w:rtlGutter w:val="0"/>
          <w:docGrid w:type="lines" w:linePitch="312" w:charSpace="0"/>
        </w:sect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克孜勒苏柯尔克孜自治州人民政府2023年行政立法工作计划项目建议表</w:t>
      </w: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rPr>
          <w:rFonts w:hint="eastAsia" w:ascii="黑体" w:hAnsi="黑体" w:eastAsia="黑体" w:cs="黑体"/>
          <w:sz w:val="32"/>
          <w:szCs w:val="32"/>
          <w:lang w:val="en-US" w:eastAsia="zh-CN"/>
        </w:rPr>
      </w:pPr>
      <w:r>
        <w:rPr>
          <w:rFonts w:hint="eastAsia" w:ascii="黑体" w:hAnsi="黑体" w:eastAsia="黑体" w:cs="黑体"/>
          <w:spacing w:val="-11"/>
          <w:sz w:val="32"/>
          <w:szCs w:val="32"/>
          <w:lang w:eastAsia="zh-CN"/>
        </w:rPr>
        <w:t>一、拟提请自治州人大常委会审议的地方性法规项目（</w:t>
      </w:r>
      <w:r>
        <w:rPr>
          <w:rFonts w:hint="eastAsia" w:ascii="黑体" w:hAnsi="黑体" w:eastAsia="黑体" w:cs="黑体"/>
          <w:spacing w:val="-11"/>
          <w:sz w:val="32"/>
          <w:szCs w:val="32"/>
          <w:lang w:val="en-US" w:eastAsia="zh-CN"/>
        </w:rPr>
        <w:t>3</w:t>
      </w:r>
      <w:r>
        <w:rPr>
          <w:rFonts w:hint="eastAsia" w:ascii="黑体" w:hAnsi="黑体" w:eastAsia="黑体" w:cs="黑体"/>
          <w:spacing w:val="-11"/>
          <w:sz w:val="32"/>
          <w:szCs w:val="32"/>
          <w:lang w:eastAsia="zh-CN"/>
        </w:rPr>
        <w:t>件）</w:t>
      </w:r>
    </w:p>
    <w:tbl>
      <w:tblPr>
        <w:tblStyle w:val="14"/>
        <w:tblW w:w="15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09"/>
        <w:gridCol w:w="2324"/>
        <w:gridCol w:w="1765"/>
        <w:gridCol w:w="2535"/>
        <w:gridCol w:w="2070"/>
        <w:gridCol w:w="1035"/>
        <w:gridCol w:w="1200"/>
        <w:gridCol w:w="12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blHeader/>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pacing w:val="-11"/>
                <w:sz w:val="24"/>
                <w:szCs w:val="24"/>
                <w:vertAlign w:val="baseline"/>
                <w:lang w:val="en-US" w:eastAsia="zh-CN"/>
              </w:rPr>
              <w:t>项目名称</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必要性</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立法依据</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需要解决的问题</w:t>
            </w:r>
          </w:p>
        </w:tc>
        <w:tc>
          <w:tcPr>
            <w:tcW w:w="20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拟规范的主要内容</w:t>
            </w:r>
          </w:p>
        </w:tc>
        <w:tc>
          <w:tcPr>
            <w:tcW w:w="103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pacing w:val="-17"/>
                <w:sz w:val="24"/>
                <w:szCs w:val="24"/>
                <w:vertAlign w:val="baseline"/>
                <w:lang w:val="en-US" w:eastAsia="zh-CN"/>
              </w:rPr>
              <w:t>起草单位</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责任单位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auto"/>
                <w:spacing w:val="-17"/>
                <w:sz w:val="24"/>
                <w:szCs w:val="24"/>
                <w:vertAlign w:val="baseline"/>
                <w:lang w:val="en-US" w:eastAsia="zh-CN"/>
              </w:rPr>
            </w:pPr>
            <w:r>
              <w:rPr>
                <w:rFonts w:hint="eastAsia" w:ascii="黑体" w:hAnsi="黑体" w:eastAsia="黑体" w:cs="黑体"/>
                <w:color w:val="auto"/>
                <w:spacing w:val="-17"/>
                <w:sz w:val="24"/>
                <w:szCs w:val="24"/>
                <w:vertAlign w:val="baseline"/>
                <w:lang w:val="en-US" w:eastAsia="zh-CN"/>
              </w:rPr>
              <w:t>报送自治州人大</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auto"/>
                <w:spacing w:val="-17"/>
                <w:sz w:val="24"/>
                <w:szCs w:val="24"/>
                <w:vertAlign w:val="baseline"/>
                <w:lang w:val="en-US" w:eastAsia="zh-CN"/>
              </w:rPr>
              <w:t>审议时间</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0"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《克孜勒苏柯尔克孜自治州加强矿业权监督管理的决定（草案）》</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为了加强对矿产资源的保护和合理开发利用，规范矿产资源监督管理行为，促进矿业经济健康发展和生态文明建设，严格按照要求对“圈而不探”“占而不采”矿业权增加运营维护成本，压缩矿业权人违规获利空间，强化矿产资源监督管理，开展《克孜勒苏柯尔克孜自治州矿产资源监督管理条例》立法工作是十分必要和迫切的。</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《中华人民共和国土地管理法》《中华人民共和国矿产资源法》《中华人民共和国测绘法》《新疆维吾尔自治区矿产资源管理条例》《新疆维吾尔自治区地质环境保护条例》等法律、法规</w:t>
            </w:r>
          </w:p>
        </w:tc>
        <w:tc>
          <w:tcPr>
            <w:tcW w:w="2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针对自治州矿产资源开发利用水平不足、矿产资源监管难度较大、矿山生态环境恢复治理任务艰巨、矿山安全生产形势严峻、资源保障能力不足等问题，强化对矿产资源勘探、开采、保护等环节的监管力度，解决矿山开发布局不合理，大矿小开、一矿多开、采富弃贫、采易弃难等资源浪费的情况，规范矿山企业“小、乱、散、差”现象。</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共</w:t>
            </w:r>
            <w:r>
              <w:rPr>
                <w:rFonts w:hint="eastAsia" w:ascii="宋体" w:hAnsi="宋体" w:cs="宋体"/>
                <w:color w:val="000000"/>
                <w:spacing w:val="-11"/>
                <w:sz w:val="24"/>
                <w:szCs w:val="24"/>
                <w:vertAlign w:val="baseline"/>
                <w:lang w:val="en-US" w:eastAsia="zh-CN"/>
              </w:rPr>
              <w:t>15</w:t>
            </w:r>
            <w:r>
              <w:rPr>
                <w:rFonts w:hint="eastAsia" w:ascii="宋体" w:hAnsi="宋体" w:eastAsia="宋体" w:cs="宋体"/>
                <w:color w:val="000000"/>
                <w:spacing w:val="-11"/>
                <w:sz w:val="24"/>
                <w:szCs w:val="24"/>
                <w:vertAlign w:val="baseline"/>
                <w:lang w:val="en-US" w:eastAsia="zh-CN"/>
              </w:rPr>
              <w:t>条，包括目的、各相关部门职责、法律责任。</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自治州自然资源局</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FF0000"/>
                <w:spacing w:val="-17"/>
                <w:sz w:val="24"/>
                <w:szCs w:val="24"/>
                <w:lang w:val="en" w:eastAsia="zh-CN"/>
              </w:rPr>
            </w:pPr>
            <w:r>
              <w:rPr>
                <w:rFonts w:hint="eastAsia" w:ascii="宋体" w:hAnsi="宋体" w:cs="宋体"/>
                <w:color w:val="auto"/>
                <w:spacing w:val="-11"/>
                <w:sz w:val="24"/>
                <w:szCs w:val="24"/>
                <w:lang w:eastAsia="zh-CN"/>
              </w:rPr>
              <w:t>各县（市）人民政府、自治州发展和改革委员会、工信局、市场监督管理局等</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0"/>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6月底前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i w:val="0"/>
                <w:caps w:val="0"/>
                <w:color w:val="auto"/>
                <w:spacing w:val="-11"/>
                <w:sz w:val="24"/>
                <w:szCs w:val="24"/>
                <w:shd w:val="clear" w:fill="FFFFFF"/>
                <w:lang w:eastAsia="zh-CN"/>
              </w:rPr>
            </w:pPr>
            <w:r>
              <w:rPr>
                <w:rFonts w:hint="eastAsia" w:ascii="宋体" w:hAnsi="宋体" w:eastAsia="宋体" w:cs="宋体"/>
                <w:i w:val="0"/>
                <w:caps w:val="0"/>
                <w:color w:val="auto"/>
                <w:spacing w:val="-11"/>
                <w:sz w:val="24"/>
                <w:szCs w:val="24"/>
                <w:shd w:val="clear" w:fill="FFFFFF"/>
                <w:lang w:eastAsia="zh-CN"/>
              </w:rPr>
              <w:t>自治州司法局做好跟踪了解，加强督促和指导，同时对草案进行审查。</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cs="宋体"/>
          <w:color w:val="000000"/>
          <w:sz w:val="24"/>
          <w:szCs w:val="24"/>
          <w:vertAlign w:val="baseline"/>
          <w:lang w:val="en-US" w:eastAsia="zh-CN"/>
        </w:rPr>
        <w:sectPr>
          <w:footerReference r:id="rId5" w:type="default"/>
          <w:pgSz w:w="16838" w:h="11906" w:orient="landscape"/>
          <w:pgMar w:top="1134" w:right="850" w:bottom="1134" w:left="850" w:header="1134" w:footer="1134" w:gutter="0"/>
          <w:pgNumType w:fmt="decimal"/>
          <w:cols w:space="0" w:num="1"/>
          <w:rtlGutter w:val="0"/>
          <w:docGrid w:type="lines" w:linePitch="312" w:charSpace="0"/>
        </w:sectPr>
      </w:pPr>
    </w:p>
    <w:tbl>
      <w:tblPr>
        <w:tblStyle w:val="14"/>
        <w:tblW w:w="15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09"/>
        <w:gridCol w:w="2324"/>
        <w:gridCol w:w="1765"/>
        <w:gridCol w:w="2535"/>
        <w:gridCol w:w="2070"/>
        <w:gridCol w:w="1035"/>
        <w:gridCol w:w="1200"/>
        <w:gridCol w:w="12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1"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《克孜勒苏柯尔克孜自治州施工现场管理条例（草案）》</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建设工程施工安全不但是工程质量和效益的前提，而且直接关系到人民群众生命、财产安全。在全州建设规模不断扩大、建筑市场发展较快的背景下，建筑从业人员快速增加，新技术、新工艺、新设备和新方法不断应用，建筑业安全生产面临许多新挑战，《克孜勒苏柯尔克孜自治州施工现场管理条例》的立法工作，有利于保障建设工程施工现场管理的科学化、规范化和法治化，实现服务与监管相结合，有效解决建设工程施工现场管理存在的问题，进一步提升建设工程质量和施工安全</w:t>
            </w:r>
            <w:r>
              <w:rPr>
                <w:rFonts w:hint="eastAsia" w:ascii="宋体" w:hAnsi="宋体" w:cs="宋体"/>
                <w:spacing w:val="-11"/>
                <w:kern w:val="2"/>
                <w:sz w:val="24"/>
                <w:szCs w:val="24"/>
                <w:lang w:val="en-US" w:eastAsia="zh-CN" w:bidi="ar-SA"/>
              </w:rPr>
              <w:t>，十分有必要。</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《中华人民共和国建筑法》《中华人民共和国安全生产法》《建设工程质量管理条例》等法律法规</w:t>
            </w:r>
            <w:r>
              <w:rPr>
                <w:rFonts w:hint="eastAsia" w:ascii="宋体" w:hAnsi="宋体" w:cs="宋体"/>
                <w:color w:val="000000"/>
                <w:spacing w:val="-11"/>
                <w:sz w:val="24"/>
                <w:szCs w:val="24"/>
                <w:vertAlign w:val="baseline"/>
                <w:lang w:val="en-US" w:eastAsia="zh-CN"/>
              </w:rPr>
              <w:t>。</w:t>
            </w:r>
          </w:p>
        </w:tc>
        <w:tc>
          <w:tcPr>
            <w:tcW w:w="2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主要针对五方参建单位应当履行的职责、施工现场的组织与环境卫生防疫管理等方面存在的问题，规范建设施工现场管理，规范参建单位、个人从业行为，防范质量安全事故的发生，提高施工现场管理水平。</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共设6章39条，包括总则、参建单位的职责、施工组织管理、环境卫生防疫管理、法律责任、附则</w:t>
            </w:r>
            <w:r>
              <w:rPr>
                <w:rFonts w:hint="eastAsia" w:ascii="宋体" w:hAnsi="宋体" w:cs="宋体"/>
                <w:color w:val="000000"/>
                <w:spacing w:val="-11"/>
                <w:sz w:val="24"/>
                <w:szCs w:val="24"/>
                <w:vertAlign w:val="baseline"/>
                <w:lang w:val="en-US" w:eastAsia="zh-CN"/>
              </w:rPr>
              <w:t>等方面</w:t>
            </w:r>
            <w:r>
              <w:rPr>
                <w:rFonts w:hint="eastAsia" w:ascii="宋体" w:hAnsi="宋体" w:eastAsia="宋体" w:cs="宋体"/>
                <w:color w:val="000000"/>
                <w:spacing w:val="-11"/>
                <w:sz w:val="24"/>
                <w:szCs w:val="24"/>
                <w:vertAlign w:val="baseline"/>
                <w:lang w:val="en-US" w:eastAsia="zh-CN"/>
              </w:rPr>
              <w:t>。</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自治州住房和城乡建设局</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FF0000"/>
                <w:spacing w:val="-17"/>
                <w:sz w:val="24"/>
                <w:szCs w:val="24"/>
                <w:lang w:eastAsia="zh-CN"/>
              </w:rPr>
            </w:pPr>
            <w:r>
              <w:rPr>
                <w:rFonts w:hint="eastAsia" w:ascii="宋体" w:hAnsi="宋体" w:eastAsia="宋体" w:cs="宋体"/>
                <w:color w:val="auto"/>
                <w:spacing w:val="-17"/>
                <w:sz w:val="24"/>
                <w:szCs w:val="24"/>
                <w:lang w:eastAsia="zh-CN"/>
              </w:rPr>
              <w:t>各县（市）人民政府、自治州</w:t>
            </w:r>
            <w:r>
              <w:rPr>
                <w:rFonts w:hint="eastAsia" w:ascii="宋体" w:hAnsi="宋体" w:cs="宋体"/>
                <w:color w:val="auto"/>
                <w:spacing w:val="-17"/>
                <w:sz w:val="24"/>
                <w:szCs w:val="24"/>
                <w:lang w:eastAsia="zh-CN"/>
              </w:rPr>
              <w:t>生态环境局</w:t>
            </w:r>
            <w:r>
              <w:rPr>
                <w:rFonts w:hint="eastAsia" w:ascii="宋体" w:hAnsi="宋体" w:eastAsia="宋体" w:cs="宋体"/>
                <w:color w:val="auto"/>
                <w:spacing w:val="-17"/>
                <w:sz w:val="24"/>
                <w:szCs w:val="24"/>
                <w:lang w:eastAsia="zh-CN"/>
              </w:rPr>
              <w:t>、</w:t>
            </w:r>
            <w:r>
              <w:rPr>
                <w:rFonts w:hint="eastAsia" w:ascii="宋体" w:hAnsi="宋体" w:cs="宋体"/>
                <w:color w:val="auto"/>
                <w:spacing w:val="-17"/>
                <w:sz w:val="24"/>
                <w:szCs w:val="24"/>
                <w:lang w:eastAsia="zh-CN"/>
              </w:rPr>
              <w:t>人力资源和社会保障</w:t>
            </w:r>
            <w:r>
              <w:rPr>
                <w:rFonts w:hint="eastAsia" w:ascii="宋体" w:hAnsi="宋体" w:eastAsia="宋体" w:cs="宋体"/>
                <w:color w:val="auto"/>
                <w:spacing w:val="-17"/>
                <w:sz w:val="24"/>
                <w:szCs w:val="24"/>
                <w:lang w:eastAsia="zh-CN"/>
              </w:rPr>
              <w:t>局、</w:t>
            </w:r>
            <w:r>
              <w:rPr>
                <w:rFonts w:hint="eastAsia" w:ascii="宋体" w:hAnsi="宋体" w:cs="宋体"/>
                <w:color w:val="auto"/>
                <w:spacing w:val="-17"/>
                <w:sz w:val="24"/>
                <w:szCs w:val="24"/>
                <w:lang w:eastAsia="zh-CN"/>
              </w:rPr>
              <w:t>消防救援支队</w:t>
            </w:r>
            <w:r>
              <w:rPr>
                <w:rFonts w:hint="eastAsia" w:ascii="宋体" w:hAnsi="宋体" w:eastAsia="宋体" w:cs="宋体"/>
                <w:color w:val="auto"/>
                <w:spacing w:val="-17"/>
                <w:sz w:val="24"/>
                <w:szCs w:val="24"/>
                <w:lang w:eastAsia="zh-CN"/>
              </w:rPr>
              <w:t>等</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0"/>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202</w:t>
            </w:r>
            <w:r>
              <w:rPr>
                <w:rFonts w:hint="eastAsia" w:ascii="宋体" w:hAnsi="宋体" w:cs="宋体"/>
                <w:color w:val="000000"/>
                <w:spacing w:val="0"/>
                <w:sz w:val="24"/>
                <w:szCs w:val="24"/>
                <w:vertAlign w:val="baseline"/>
                <w:lang w:val="en-US" w:eastAsia="zh-CN"/>
              </w:rPr>
              <w:t>3</w:t>
            </w:r>
            <w:r>
              <w:rPr>
                <w:rFonts w:hint="eastAsia" w:ascii="宋体" w:hAnsi="宋体" w:eastAsia="宋体" w:cs="宋体"/>
                <w:color w:val="000000"/>
                <w:spacing w:val="0"/>
                <w:sz w:val="24"/>
                <w:szCs w:val="24"/>
                <w:vertAlign w:val="baseline"/>
                <w:lang w:val="en-US" w:eastAsia="zh-CN"/>
              </w:rPr>
              <w:t>年</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6"/>
                <w:sz w:val="24"/>
                <w:szCs w:val="24"/>
                <w:vertAlign w:val="baseline"/>
                <w:lang w:val="en-US" w:eastAsia="zh-CN"/>
              </w:rPr>
              <w:t>6月底前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i w:val="0"/>
                <w:caps w:val="0"/>
                <w:color w:val="auto"/>
                <w:spacing w:val="-11"/>
                <w:sz w:val="24"/>
                <w:szCs w:val="24"/>
                <w:shd w:val="clear" w:fill="FFFFFF"/>
                <w:lang w:eastAsia="zh-CN"/>
              </w:rPr>
            </w:pPr>
            <w:r>
              <w:rPr>
                <w:rFonts w:hint="eastAsia" w:ascii="宋体" w:hAnsi="宋体" w:eastAsia="宋体" w:cs="宋体"/>
                <w:i w:val="0"/>
                <w:caps w:val="0"/>
                <w:color w:val="auto"/>
                <w:spacing w:val="-11"/>
                <w:sz w:val="24"/>
                <w:szCs w:val="24"/>
                <w:shd w:val="clear" w:fill="FFFFFF"/>
                <w:lang w:eastAsia="zh-CN"/>
              </w:rPr>
              <w:t>自治州司法局做好跟踪了解，加强督促和指导，同时对草案进行审查。</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cs="宋体"/>
          <w:color w:val="000000"/>
          <w:sz w:val="24"/>
          <w:szCs w:val="24"/>
          <w:vertAlign w:val="baseline"/>
          <w:lang w:val="en-US" w:eastAsia="zh-CN"/>
        </w:rPr>
        <w:sectPr>
          <w:footerReference r:id="rId6" w:type="default"/>
          <w:pgSz w:w="16838" w:h="11906" w:orient="landscape"/>
          <w:pgMar w:top="1134" w:right="850" w:bottom="1134" w:left="850" w:header="1134" w:footer="1134" w:gutter="0"/>
          <w:pgNumType w:fmt="decimal"/>
          <w:cols w:space="0" w:num="1"/>
          <w:rtlGutter w:val="0"/>
          <w:docGrid w:type="lines" w:linePitch="312" w:charSpace="0"/>
        </w:sectPr>
      </w:pPr>
    </w:p>
    <w:tbl>
      <w:tblPr>
        <w:tblStyle w:val="14"/>
        <w:tblW w:w="15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09"/>
        <w:gridCol w:w="2324"/>
        <w:gridCol w:w="1765"/>
        <w:gridCol w:w="2535"/>
        <w:gridCol w:w="2070"/>
        <w:gridCol w:w="1035"/>
        <w:gridCol w:w="1200"/>
        <w:gridCol w:w="12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9"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《克孜勒苏柯尔克孜自治州阿图什无花果产业高质量发展促进条例（草案）》</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根据克州党委人民政府提出的“稳粮、减棉、增饲、强蓄、优果”“三农”工作发展思路，为了保护阿图什无花果的市场竞争优势，维护品牌信誉，规范市场行为，促进克州阿图什无花果产业高质量发展，制定出台《条例》迫在眉睫、十分必要。</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《中华人民共和国农业法》《中华人民共和国农产品质量安全法》《中华人民共和国种子法》《中华人民共和国农村土地承包法》《中华人民共和国商标法》等法律法规</w:t>
            </w:r>
          </w:p>
        </w:tc>
        <w:tc>
          <w:tcPr>
            <w:tcW w:w="2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主要针对克州特色林果业重种植、轻管理、重产量、轻质量，树种布局失当，无规模优势，栽植过密，品种不纯不优，有机肥料不足，农药化肥滥用，科技支撑能力弱，标准化程度低，园艺机具落后，政策措施乏力，龙头企业缺失，品牌建设滞后，销售渠道传统等问题，从法律层面进行规范，提供保障，保护克州特色林果产品市场竞争优势，维护品牌信誉，规范市场行为，促进克州特色林果业高质量发展。</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共</w:t>
            </w:r>
            <w:r>
              <w:rPr>
                <w:rFonts w:hint="eastAsia" w:ascii="宋体" w:hAnsi="宋体" w:cs="宋体"/>
                <w:color w:val="000000"/>
                <w:spacing w:val="-11"/>
                <w:sz w:val="24"/>
                <w:szCs w:val="24"/>
                <w:vertAlign w:val="baseline"/>
                <w:lang w:val="en-US" w:eastAsia="zh-CN"/>
              </w:rPr>
              <w:t>设</w:t>
            </w:r>
            <w:r>
              <w:rPr>
                <w:rFonts w:hint="eastAsia" w:ascii="宋体" w:hAnsi="宋体" w:eastAsia="宋体" w:cs="宋体"/>
                <w:color w:val="000000"/>
                <w:spacing w:val="-11"/>
                <w:sz w:val="24"/>
                <w:szCs w:val="24"/>
                <w:vertAlign w:val="baseline"/>
                <w:lang w:val="en-US" w:eastAsia="zh-CN"/>
              </w:rPr>
              <w:t>7章50条，包括种植管理与质量监督、产地保护、品牌建设与保护、保障措施、法律责任等方面</w:t>
            </w:r>
            <w:r>
              <w:rPr>
                <w:rFonts w:hint="eastAsia" w:ascii="宋体" w:hAnsi="宋体" w:cs="宋体"/>
                <w:color w:val="000000"/>
                <w:spacing w:val="-11"/>
                <w:sz w:val="24"/>
                <w:szCs w:val="24"/>
                <w:vertAlign w:val="baseline"/>
                <w:lang w:val="en-US" w:eastAsia="zh-CN"/>
              </w:rPr>
              <w:t>，目前正在修改当中。</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自治州林业和草原局</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auto"/>
                <w:spacing w:val="-17"/>
                <w:sz w:val="24"/>
                <w:szCs w:val="24"/>
                <w:lang w:eastAsia="zh-CN"/>
              </w:rPr>
              <w:t>各县（市）人民政府、自治州</w:t>
            </w:r>
            <w:r>
              <w:rPr>
                <w:rFonts w:hint="eastAsia" w:ascii="宋体" w:hAnsi="宋体" w:cs="宋体"/>
                <w:color w:val="auto"/>
                <w:spacing w:val="-17"/>
                <w:sz w:val="24"/>
                <w:szCs w:val="24"/>
                <w:lang w:eastAsia="zh-CN"/>
              </w:rPr>
              <w:t>农业农村局、乡村振兴局、生态环境局、市场监督管理局等</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0"/>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6</w:t>
            </w:r>
            <w:r>
              <w:rPr>
                <w:rFonts w:hint="eastAsia" w:ascii="宋体" w:hAnsi="宋体" w:cs="宋体"/>
                <w:color w:val="000000"/>
                <w:spacing w:val="0"/>
                <w:sz w:val="24"/>
                <w:szCs w:val="24"/>
                <w:vertAlign w:val="baseline"/>
                <w:lang w:val="en-US" w:eastAsia="zh-CN"/>
              </w:rPr>
              <w:t>月底前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i w:val="0"/>
                <w:caps w:val="0"/>
                <w:color w:val="auto"/>
                <w:spacing w:val="-11"/>
                <w:sz w:val="24"/>
                <w:szCs w:val="24"/>
                <w:shd w:val="clear" w:fill="FFFFFF"/>
                <w:lang w:eastAsia="zh-CN"/>
              </w:rPr>
              <w:t>自治州</w:t>
            </w:r>
            <w:r>
              <w:rPr>
                <w:rFonts w:hint="eastAsia" w:ascii="宋体" w:hAnsi="宋体" w:eastAsia="宋体" w:cs="宋体"/>
                <w:i w:val="0"/>
                <w:caps w:val="0"/>
                <w:color w:val="auto"/>
                <w:spacing w:val="-11"/>
                <w:sz w:val="24"/>
                <w:szCs w:val="24"/>
                <w:shd w:val="clear" w:fill="FFFFFF"/>
              </w:rPr>
              <w:t>司法</w:t>
            </w:r>
            <w:r>
              <w:rPr>
                <w:rFonts w:hint="eastAsia" w:ascii="宋体" w:hAnsi="宋体" w:eastAsia="宋体" w:cs="宋体"/>
                <w:i w:val="0"/>
                <w:caps w:val="0"/>
                <w:color w:val="auto"/>
                <w:spacing w:val="-11"/>
                <w:sz w:val="24"/>
                <w:szCs w:val="24"/>
                <w:shd w:val="clear" w:fill="FFFFFF"/>
                <w:lang w:eastAsia="zh-CN"/>
              </w:rPr>
              <w:t>局做好</w:t>
            </w:r>
            <w:r>
              <w:rPr>
                <w:rFonts w:hint="eastAsia" w:ascii="宋体" w:hAnsi="宋体" w:eastAsia="宋体" w:cs="宋体"/>
                <w:i w:val="0"/>
                <w:caps w:val="0"/>
                <w:color w:val="auto"/>
                <w:spacing w:val="-11"/>
                <w:sz w:val="24"/>
                <w:szCs w:val="24"/>
                <w:shd w:val="clear" w:fill="FFFFFF"/>
              </w:rPr>
              <w:t>跟</w:t>
            </w:r>
            <w:r>
              <w:rPr>
                <w:rFonts w:hint="eastAsia" w:ascii="宋体" w:hAnsi="宋体" w:eastAsia="宋体" w:cs="宋体"/>
                <w:i w:val="0"/>
                <w:caps w:val="0"/>
                <w:color w:val="auto"/>
                <w:spacing w:val="-11"/>
                <w:sz w:val="24"/>
                <w:szCs w:val="24"/>
                <w:shd w:val="clear" w:fill="FFFFFF"/>
                <w:lang w:eastAsia="zh-CN"/>
              </w:rPr>
              <w:t>踪</w:t>
            </w:r>
            <w:r>
              <w:rPr>
                <w:rFonts w:hint="eastAsia" w:ascii="宋体" w:hAnsi="宋体" w:eastAsia="宋体" w:cs="宋体"/>
                <w:i w:val="0"/>
                <w:caps w:val="0"/>
                <w:color w:val="auto"/>
                <w:spacing w:val="-11"/>
                <w:sz w:val="24"/>
                <w:szCs w:val="24"/>
                <w:shd w:val="clear" w:fill="FFFFFF"/>
              </w:rPr>
              <w:t>了解，加强督促和指导</w:t>
            </w:r>
            <w:r>
              <w:rPr>
                <w:rFonts w:hint="eastAsia" w:ascii="宋体" w:hAnsi="宋体" w:eastAsia="宋体" w:cs="宋体"/>
                <w:i w:val="0"/>
                <w:caps w:val="0"/>
                <w:color w:val="auto"/>
                <w:spacing w:val="-11"/>
                <w:sz w:val="24"/>
                <w:szCs w:val="24"/>
                <w:shd w:val="clear" w:fill="FFFFFF"/>
                <w:lang w:eastAsia="zh-CN"/>
              </w:rPr>
              <w:t>，同时对草案进行审查。</w:t>
            </w:r>
          </w:p>
        </w:tc>
      </w:tr>
    </w:tbl>
    <w:p>
      <w:pPr>
        <w:keepNext w:val="0"/>
        <w:keepLines w:val="0"/>
        <w:pageBreakBefore w:val="0"/>
        <w:widowControl w:val="0"/>
        <w:kinsoku/>
        <w:wordWrap/>
        <w:overflowPunct/>
        <w:topLinePunct w:val="0"/>
        <w:autoSpaceDE/>
        <w:autoSpaceDN/>
        <w:bidi w:val="0"/>
        <w:adjustRightInd/>
        <w:snapToGrid/>
        <w:spacing w:line="578" w:lineRule="exact"/>
        <w:ind w:firstLine="596" w:firstLineChars="200"/>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96"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pacing w:val="-11"/>
          <w:sz w:val="32"/>
          <w:szCs w:val="32"/>
          <w:lang w:eastAsia="zh-CN"/>
        </w:rPr>
        <w:t>二、调研预备的地方性法规项目（2件）</w:t>
      </w:r>
    </w:p>
    <w:tbl>
      <w:tblPr>
        <w:tblStyle w:val="14"/>
        <w:tblW w:w="15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09"/>
        <w:gridCol w:w="2324"/>
        <w:gridCol w:w="1765"/>
        <w:gridCol w:w="2535"/>
        <w:gridCol w:w="2070"/>
        <w:gridCol w:w="1035"/>
        <w:gridCol w:w="1185"/>
        <w:gridCol w:w="12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blHeader/>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pacing w:val="-11"/>
                <w:sz w:val="24"/>
                <w:szCs w:val="24"/>
                <w:vertAlign w:val="baseline"/>
                <w:lang w:val="en-US" w:eastAsia="zh-CN"/>
              </w:rPr>
              <w:t>项目名称</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必要性</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立法依据</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需要解决的问题</w:t>
            </w:r>
          </w:p>
        </w:tc>
        <w:tc>
          <w:tcPr>
            <w:tcW w:w="20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拟规范的主要内容</w:t>
            </w:r>
          </w:p>
        </w:tc>
        <w:tc>
          <w:tcPr>
            <w:tcW w:w="103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pacing w:val="-17"/>
                <w:sz w:val="24"/>
                <w:szCs w:val="24"/>
                <w:vertAlign w:val="baseline"/>
                <w:lang w:val="en-US" w:eastAsia="zh-CN"/>
              </w:rPr>
              <w:t>起草单位</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责任单位</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auto"/>
                <w:spacing w:val="-17"/>
                <w:sz w:val="24"/>
                <w:szCs w:val="24"/>
                <w:vertAlign w:val="baseline"/>
                <w:lang w:val="en-US" w:eastAsia="zh-CN"/>
              </w:rPr>
            </w:pPr>
            <w:r>
              <w:rPr>
                <w:rFonts w:hint="eastAsia" w:ascii="黑体" w:hAnsi="黑体" w:eastAsia="黑体" w:cs="黑体"/>
                <w:color w:val="auto"/>
                <w:spacing w:val="-17"/>
                <w:sz w:val="24"/>
                <w:szCs w:val="24"/>
                <w:vertAlign w:val="baseline"/>
                <w:lang w:val="en-US" w:eastAsia="zh-CN"/>
              </w:rPr>
              <w:t>提交调研</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auto"/>
                <w:spacing w:val="-17"/>
                <w:sz w:val="24"/>
                <w:szCs w:val="24"/>
                <w:vertAlign w:val="baseline"/>
                <w:lang w:val="en-US" w:eastAsia="zh-CN"/>
              </w:rPr>
            </w:pPr>
            <w:r>
              <w:rPr>
                <w:rFonts w:hint="eastAsia" w:ascii="黑体" w:hAnsi="黑体" w:eastAsia="黑体" w:cs="黑体"/>
                <w:color w:val="auto"/>
                <w:spacing w:val="-17"/>
                <w:sz w:val="24"/>
                <w:szCs w:val="24"/>
                <w:vertAlign w:val="baseline"/>
                <w:lang w:val="en-US" w:eastAsia="zh-CN"/>
              </w:rPr>
              <w:t>报告及草案</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auto"/>
                <w:spacing w:val="-17"/>
                <w:sz w:val="24"/>
                <w:szCs w:val="24"/>
                <w:vertAlign w:val="baseline"/>
                <w:lang w:val="en-US" w:eastAsia="zh-CN"/>
              </w:rPr>
              <w:t>时间</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《克孜勒苏柯尔克孜自治州城市机动车停车场管理条例（草案）》</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default" w:ascii="宋体" w:hAnsi="宋体" w:eastAsia="宋体" w:cs="宋体"/>
                <w:spacing w:val="-11"/>
                <w:kern w:val="2"/>
                <w:sz w:val="24"/>
                <w:szCs w:val="24"/>
                <w:lang w:val="en-US" w:eastAsia="zh-CN" w:bidi="ar-SA"/>
              </w:rPr>
            </w:pPr>
            <w:r>
              <w:rPr>
                <w:rFonts w:hint="eastAsia" w:ascii="宋体" w:hAnsi="宋体" w:cs="宋体"/>
                <w:spacing w:val="-11"/>
                <w:kern w:val="2"/>
                <w:sz w:val="24"/>
                <w:szCs w:val="24"/>
                <w:lang w:val="en-US" w:eastAsia="zh-CN" w:bidi="ar-SA"/>
              </w:rPr>
              <w:t>加强城市机动车停车 管理，规范停车行为。</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《中华人民共和国道路交通管理条例》《中华人民共和国城市道路管理条例》</w:t>
            </w:r>
            <w:r>
              <w:rPr>
                <w:rFonts w:hint="eastAsia" w:ascii="宋体" w:hAnsi="宋体" w:eastAsia="宋体" w:cs="宋体"/>
                <w:color w:val="000000"/>
                <w:spacing w:val="-11"/>
                <w:sz w:val="24"/>
                <w:szCs w:val="24"/>
                <w:vertAlign w:val="baseline"/>
                <w:lang w:val="en-US" w:eastAsia="zh-CN"/>
              </w:rPr>
              <w:t>等法律法规</w:t>
            </w:r>
            <w:r>
              <w:rPr>
                <w:rFonts w:hint="eastAsia" w:ascii="宋体" w:hAnsi="宋体" w:cs="宋体"/>
                <w:color w:val="000000"/>
                <w:spacing w:val="-11"/>
                <w:sz w:val="24"/>
                <w:szCs w:val="24"/>
                <w:vertAlign w:val="baseline"/>
                <w:lang w:val="en-US" w:eastAsia="zh-CN"/>
              </w:rPr>
              <w:t>。</w:t>
            </w:r>
          </w:p>
        </w:tc>
        <w:tc>
          <w:tcPr>
            <w:tcW w:w="2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有效解决市民停车难、停车管理不规范问题。</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主要规范城市停车场的建设和管理。</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自治州住房和城乡建设局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各县（市）人民政府、自治州</w:t>
            </w:r>
            <w:r>
              <w:rPr>
                <w:rFonts w:hint="eastAsia" w:ascii="宋体" w:hAnsi="宋体" w:cs="宋体"/>
                <w:color w:val="auto"/>
                <w:spacing w:val="-17"/>
                <w:sz w:val="24"/>
                <w:szCs w:val="24"/>
                <w:lang w:eastAsia="zh-CN"/>
              </w:rPr>
              <w:t>发展和改革委员会</w:t>
            </w:r>
            <w:r>
              <w:rPr>
                <w:rFonts w:hint="eastAsia" w:ascii="宋体" w:hAnsi="宋体" w:eastAsia="宋体" w:cs="宋体"/>
                <w:color w:val="auto"/>
                <w:spacing w:val="-17"/>
                <w:sz w:val="24"/>
                <w:szCs w:val="24"/>
                <w:lang w:eastAsia="zh-CN"/>
              </w:rPr>
              <w:t>、</w:t>
            </w:r>
            <w:r>
              <w:rPr>
                <w:rFonts w:hint="eastAsia" w:ascii="宋体" w:hAnsi="宋体" w:cs="宋体"/>
                <w:color w:val="auto"/>
                <w:spacing w:val="-17"/>
                <w:sz w:val="24"/>
                <w:szCs w:val="24"/>
                <w:lang w:eastAsia="zh-CN"/>
              </w:rPr>
              <w:t>交通运输局、公安</w:t>
            </w:r>
            <w:r>
              <w:rPr>
                <w:rFonts w:hint="eastAsia" w:ascii="宋体" w:hAnsi="宋体" w:eastAsia="宋体" w:cs="宋体"/>
                <w:color w:val="auto"/>
                <w:spacing w:val="-17"/>
                <w:sz w:val="24"/>
                <w:szCs w:val="24"/>
                <w:lang w:eastAsia="zh-CN"/>
              </w:rPr>
              <w:t>局等</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0"/>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0"/>
                <w:sz w:val="24"/>
                <w:szCs w:val="24"/>
                <w:vertAlign w:val="baseline"/>
                <w:lang w:val="en-US" w:eastAsia="zh-CN"/>
              </w:rPr>
              <w:t>10</w:t>
            </w:r>
            <w:r>
              <w:rPr>
                <w:rFonts w:hint="eastAsia" w:ascii="宋体" w:hAnsi="宋体" w:eastAsia="宋体" w:cs="宋体"/>
                <w:color w:val="000000"/>
                <w:spacing w:val="0"/>
                <w:sz w:val="24"/>
                <w:szCs w:val="24"/>
                <w:vertAlign w:val="baseline"/>
                <w:lang w:val="en-US" w:eastAsia="zh-CN"/>
              </w:rPr>
              <w:t>月底前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i w:val="0"/>
                <w:caps w:val="0"/>
                <w:color w:val="auto"/>
                <w:spacing w:val="-11"/>
                <w:sz w:val="24"/>
                <w:szCs w:val="24"/>
                <w:shd w:val="clear" w:fill="FFFFFF"/>
                <w:lang w:eastAsia="zh-CN"/>
              </w:rPr>
            </w:pPr>
            <w:r>
              <w:rPr>
                <w:rFonts w:hint="eastAsia" w:ascii="宋体" w:hAnsi="宋体" w:eastAsia="宋体" w:cs="宋体"/>
                <w:i w:val="0"/>
                <w:caps w:val="0"/>
                <w:color w:val="auto"/>
                <w:spacing w:val="-11"/>
                <w:sz w:val="24"/>
                <w:szCs w:val="24"/>
                <w:shd w:val="clear" w:fill="FFFFFF"/>
                <w:lang w:eastAsia="zh-CN"/>
              </w:rPr>
              <w:t>自治州司法局做好跟踪了解，加强督促和指导，同时对草案进行审查。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eastAsia="宋体" w:cs="宋体"/>
                <w:color w:val="000000"/>
                <w:spacing w:val="-11"/>
                <w:sz w:val="24"/>
                <w:szCs w:val="24"/>
                <w:vertAlign w:val="baseline"/>
                <w:lang w:val="en-US" w:eastAsia="zh-CN"/>
              </w:rPr>
              <w:t>《克孜勒苏柯尔克孜自治州餐饮服务业污染防治条例（草案）》</w:t>
            </w:r>
          </w:p>
        </w:tc>
        <w:tc>
          <w:tcPr>
            <w:tcW w:w="232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spacing w:val="-11"/>
                <w:kern w:val="2"/>
                <w:sz w:val="24"/>
                <w:szCs w:val="24"/>
                <w:lang w:val="en-US" w:eastAsia="zh-CN" w:bidi="ar-SA"/>
              </w:rPr>
            </w:pPr>
            <w:r>
              <w:rPr>
                <w:rFonts w:hint="eastAsia" w:ascii="宋体" w:hAnsi="宋体" w:cs="宋体"/>
                <w:spacing w:val="-11"/>
                <w:kern w:val="2"/>
                <w:sz w:val="24"/>
                <w:szCs w:val="24"/>
                <w:lang w:val="en-US" w:eastAsia="zh-CN" w:bidi="ar-SA"/>
              </w:rPr>
              <w:t>明确油烟污染防治要求及执法依据，对进一步提升全州空气质量，优化人居环境十分必要。</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《中华人民共和国环境保护法》《中华人民共和国大气污染防治法》</w:t>
            </w:r>
            <w:r>
              <w:rPr>
                <w:rFonts w:hint="eastAsia" w:ascii="宋体" w:hAnsi="宋体" w:eastAsia="宋体" w:cs="宋体"/>
                <w:color w:val="000000"/>
                <w:spacing w:val="-11"/>
                <w:sz w:val="24"/>
                <w:szCs w:val="24"/>
                <w:vertAlign w:val="baseline"/>
                <w:lang w:val="en-US" w:eastAsia="zh-CN"/>
              </w:rPr>
              <w:t>等法律法规</w:t>
            </w:r>
            <w:r>
              <w:rPr>
                <w:rFonts w:hint="eastAsia" w:ascii="宋体" w:hAnsi="宋体" w:cs="宋体"/>
                <w:color w:val="000000"/>
                <w:spacing w:val="-11"/>
                <w:sz w:val="24"/>
                <w:szCs w:val="24"/>
                <w:vertAlign w:val="baseline"/>
                <w:lang w:val="en-US" w:eastAsia="zh-CN"/>
              </w:rPr>
              <w:t>。</w:t>
            </w:r>
          </w:p>
        </w:tc>
        <w:tc>
          <w:tcPr>
            <w:tcW w:w="2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加强餐饮油烟治理，解决餐饮油烟污染扰民问题，促进餐饮服务业有序发展，不断提升和改善环境质量，创造良好的生活环境。</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明确餐饮油烟污染防治部门职责，建立执法联动机制，加强餐饮油烟污染监督管理。</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11"/>
                <w:sz w:val="24"/>
                <w:szCs w:val="24"/>
                <w:vertAlign w:val="baseline"/>
                <w:lang w:val="en-US" w:eastAsia="zh-CN"/>
              </w:rPr>
              <w:t>自治州生态环境局</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各县（市）人民政府、自治州市场监督管理局</w:t>
            </w:r>
            <w:r>
              <w:rPr>
                <w:rFonts w:hint="eastAsia" w:ascii="宋体" w:hAnsi="宋体" w:cs="宋体"/>
                <w:color w:val="auto"/>
                <w:spacing w:val="-17"/>
                <w:sz w:val="24"/>
                <w:szCs w:val="24"/>
                <w:lang w:eastAsia="zh-CN"/>
              </w:rPr>
              <w:t>、公安局</w:t>
            </w:r>
            <w:r>
              <w:rPr>
                <w:rFonts w:hint="eastAsia" w:ascii="宋体" w:hAnsi="宋体" w:eastAsia="宋体" w:cs="宋体"/>
                <w:color w:val="auto"/>
                <w:spacing w:val="-17"/>
                <w:sz w:val="24"/>
                <w:szCs w:val="24"/>
                <w:lang w:eastAsia="zh-CN"/>
              </w:rPr>
              <w:t>等</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0"/>
                <w:sz w:val="24"/>
                <w:szCs w:val="24"/>
                <w:vertAlign w:val="baseline"/>
                <w:lang w:val="en-US" w:eastAsia="zh-CN"/>
              </w:rPr>
            </w:pPr>
            <w:r>
              <w:rPr>
                <w:rFonts w:hint="eastAsia" w:ascii="宋体" w:hAnsi="宋体" w:eastAsia="宋体" w:cs="宋体"/>
                <w:color w:val="000000"/>
                <w:spacing w:val="0"/>
                <w:sz w:val="24"/>
                <w:szCs w:val="24"/>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宋体" w:hAnsi="宋体" w:eastAsia="宋体" w:cs="宋体"/>
                <w:color w:val="000000"/>
                <w:spacing w:val="-11"/>
                <w:sz w:val="24"/>
                <w:szCs w:val="24"/>
                <w:vertAlign w:val="baseline"/>
                <w:lang w:val="en-US" w:eastAsia="zh-CN"/>
              </w:rPr>
            </w:pPr>
            <w:r>
              <w:rPr>
                <w:rFonts w:hint="eastAsia" w:ascii="宋体" w:hAnsi="宋体" w:cs="宋体"/>
                <w:color w:val="000000"/>
                <w:spacing w:val="0"/>
                <w:sz w:val="24"/>
                <w:szCs w:val="24"/>
                <w:vertAlign w:val="baseline"/>
                <w:lang w:val="en-US" w:eastAsia="zh-CN"/>
              </w:rPr>
              <w:t>10</w:t>
            </w:r>
            <w:r>
              <w:rPr>
                <w:rFonts w:hint="eastAsia" w:ascii="宋体" w:hAnsi="宋体" w:eastAsia="宋体" w:cs="宋体"/>
                <w:color w:val="000000"/>
                <w:spacing w:val="0"/>
                <w:sz w:val="24"/>
                <w:szCs w:val="24"/>
                <w:vertAlign w:val="baseline"/>
                <w:lang w:val="en-US" w:eastAsia="zh-CN"/>
              </w:rPr>
              <w:t>月底前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eastAsia" w:ascii="宋体" w:hAnsi="宋体" w:eastAsia="宋体" w:cs="宋体"/>
                <w:i w:val="0"/>
                <w:caps w:val="0"/>
                <w:color w:val="auto"/>
                <w:spacing w:val="-11"/>
                <w:sz w:val="24"/>
                <w:szCs w:val="24"/>
                <w:shd w:val="clear" w:fill="FFFFFF"/>
                <w:lang w:eastAsia="zh-CN"/>
              </w:rPr>
            </w:pPr>
            <w:r>
              <w:rPr>
                <w:rFonts w:hint="eastAsia" w:ascii="宋体" w:hAnsi="宋体" w:eastAsia="宋体" w:cs="宋体"/>
                <w:i w:val="0"/>
                <w:caps w:val="0"/>
                <w:color w:val="auto"/>
                <w:spacing w:val="-11"/>
                <w:sz w:val="24"/>
                <w:szCs w:val="24"/>
                <w:shd w:val="clear" w:fill="FFFFFF"/>
                <w:lang w:eastAsia="zh-CN"/>
              </w:rPr>
              <w:t>自治州司法局做好跟踪了解，加强督促和指导，同时对草案进行审查。</w:t>
            </w:r>
          </w:p>
        </w:tc>
      </w:tr>
    </w:tbl>
    <w:p>
      <w:pPr>
        <w:pStyle w:val="12"/>
        <w:ind w:left="0" w:leftChars="0" w:firstLine="0" w:firstLineChars="0"/>
        <w:rPr>
          <w:rFonts w:hint="default"/>
          <w:lang w:val="en-US" w:eastAsia="zh-CN"/>
        </w:rPr>
        <w:sectPr>
          <w:footerReference r:id="rId7" w:type="default"/>
          <w:pgSz w:w="16838" w:h="11906" w:orient="landscape"/>
          <w:pgMar w:top="1134" w:right="850" w:bottom="1134" w:left="850" w:header="851" w:footer="992" w:gutter="0"/>
          <w:pgNumType w:fmt="decimal"/>
          <w:cols w:space="0" w:num="1"/>
          <w:rtlGutter w:val="0"/>
          <w:docGrid w:type="lines" w:linePitch="321" w:charSpace="0"/>
        </w:sectPr>
      </w:pPr>
    </w:p>
    <w:p>
      <w:pPr>
        <w:pStyle w:val="9"/>
        <w:keepNext w:val="0"/>
        <w:keepLines w:val="0"/>
        <w:pageBreakBefore w:val="0"/>
        <w:widowControl/>
        <w:numPr>
          <w:ilvl w:val="0"/>
          <w:numId w:val="0"/>
        </w:numPr>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spacing w:val="-1"/>
          <w:kern w:val="0"/>
          <w:sz w:val="32"/>
          <w:szCs w:val="32"/>
          <w:lang w:val="en-US" w:eastAsia="zh-CN" w:bidi="ar-SA"/>
        </w:rPr>
      </w:pPr>
    </w:p>
    <w:sectPr>
      <w:footerReference r:id="rId8" w:type="default"/>
      <w:pgSz w:w="11906" w:h="16838"/>
      <w:pgMar w:top="2098" w:right="1531" w:bottom="1984" w:left="1531"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2S/1o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zKwvMlzhiNDtlUg&#10;q1L+H1D9AF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S/1o9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0" w:lineRule="exact"/>
      <w:ind w:right="420" w:rightChars="200"/>
      <w:jc w:val="both"/>
      <w:textAlignment w:val="auto"/>
      <w:outlineLvl w:val="9"/>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E4EC5"/>
    <w:multiLevelType w:val="singleLevel"/>
    <w:tmpl w:val="600E4EC5"/>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43A4A"/>
    <w:rsid w:val="00F279D2"/>
    <w:rsid w:val="016F3BAE"/>
    <w:rsid w:val="023426A4"/>
    <w:rsid w:val="040C6ED1"/>
    <w:rsid w:val="04B0129D"/>
    <w:rsid w:val="0724097D"/>
    <w:rsid w:val="0C163348"/>
    <w:rsid w:val="0E7C2455"/>
    <w:rsid w:val="115C5374"/>
    <w:rsid w:val="13360DCF"/>
    <w:rsid w:val="13D603BC"/>
    <w:rsid w:val="151F623B"/>
    <w:rsid w:val="1810126D"/>
    <w:rsid w:val="1B544CBC"/>
    <w:rsid w:val="1DC43D21"/>
    <w:rsid w:val="1E7D18E1"/>
    <w:rsid w:val="201802C1"/>
    <w:rsid w:val="22664026"/>
    <w:rsid w:val="276446B9"/>
    <w:rsid w:val="278A1E8F"/>
    <w:rsid w:val="2AEC51A8"/>
    <w:rsid w:val="2D141DAB"/>
    <w:rsid w:val="2DF66F59"/>
    <w:rsid w:val="34141FC6"/>
    <w:rsid w:val="35272F87"/>
    <w:rsid w:val="35F70E0F"/>
    <w:rsid w:val="38EC3738"/>
    <w:rsid w:val="3B664623"/>
    <w:rsid w:val="3B7D8BB1"/>
    <w:rsid w:val="3C6209AF"/>
    <w:rsid w:val="3E024247"/>
    <w:rsid w:val="3E05015A"/>
    <w:rsid w:val="3FFC2CD5"/>
    <w:rsid w:val="40910EA0"/>
    <w:rsid w:val="409B0003"/>
    <w:rsid w:val="41843A4A"/>
    <w:rsid w:val="48C326D9"/>
    <w:rsid w:val="4B4A611B"/>
    <w:rsid w:val="4CAF4A55"/>
    <w:rsid w:val="4D186478"/>
    <w:rsid w:val="4DEF6ABC"/>
    <w:rsid w:val="52EC38B0"/>
    <w:rsid w:val="53E16573"/>
    <w:rsid w:val="55564036"/>
    <w:rsid w:val="5BFF8B8B"/>
    <w:rsid w:val="5C91713D"/>
    <w:rsid w:val="5CA20183"/>
    <w:rsid w:val="5DEE21F1"/>
    <w:rsid w:val="607F5E42"/>
    <w:rsid w:val="65AB4261"/>
    <w:rsid w:val="67BA123E"/>
    <w:rsid w:val="68B83A21"/>
    <w:rsid w:val="6DBD594F"/>
    <w:rsid w:val="6E1B1B76"/>
    <w:rsid w:val="6E425832"/>
    <w:rsid w:val="6FBE3827"/>
    <w:rsid w:val="710803E2"/>
    <w:rsid w:val="716B73BC"/>
    <w:rsid w:val="71AC0D58"/>
    <w:rsid w:val="736E5403"/>
    <w:rsid w:val="7414781B"/>
    <w:rsid w:val="753A2D43"/>
    <w:rsid w:val="759F2666"/>
    <w:rsid w:val="7ABFC31F"/>
    <w:rsid w:val="7BB5017C"/>
    <w:rsid w:val="7E6BB062"/>
    <w:rsid w:val="7F2C1422"/>
    <w:rsid w:val="7F5F1F8E"/>
    <w:rsid w:val="9EB86E4A"/>
    <w:rsid w:val="B6FE1475"/>
    <w:rsid w:val="CB1BEE63"/>
    <w:rsid w:val="CF7DC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index 5"/>
    <w:basedOn w:val="1"/>
    <w:next w:val="1"/>
    <w:unhideWhenUsed/>
    <w:qFormat/>
    <w:uiPriority w:val="99"/>
    <w:pPr>
      <w:ind w:left="1680"/>
    </w:pPr>
  </w:style>
  <w:style w:type="paragraph" w:styleId="5">
    <w:name w:val="Body Text"/>
    <w:basedOn w:val="1"/>
    <w:next w:val="1"/>
    <w:unhideWhenUsed/>
    <w:qFormat/>
    <w:uiPriority w:val="99"/>
    <w:pPr>
      <w:jc w:val="center"/>
    </w:pPr>
    <w:rPr>
      <w:rFonts w:eastAsia="方正小标宋简体"/>
      <w:b/>
      <w:bCs/>
      <w:sz w:val="44"/>
    </w:rPr>
  </w:style>
  <w:style w:type="paragraph" w:styleId="6">
    <w:name w:val="Body Text Indent"/>
    <w:basedOn w:val="1"/>
    <w:unhideWhenUsed/>
    <w:qFormat/>
    <w:uiPriority w:val="99"/>
    <w:pPr>
      <w:spacing w:after="120"/>
      <w:ind w:left="420" w:leftChars="200"/>
    </w:pPr>
    <w:rPr>
      <w:rFonts w:ascii="Times New Roman" w:hAnsi="Times New Roman" w:eastAsia="宋体" w:cs="Times New Roman"/>
      <w:szCs w:val="22"/>
    </w:rPr>
  </w:style>
  <w:style w:type="paragraph" w:styleId="7">
    <w:name w:val="footer"/>
    <w:basedOn w:val="1"/>
    <w:next w:val="4"/>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Number 5"/>
    <w:basedOn w:val="1"/>
    <w:qFormat/>
    <w:uiPriority w:val="0"/>
    <w:pPr>
      <w:numPr>
        <w:ilvl w:val="0"/>
        <w:numId w:val="1"/>
      </w:numPr>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rFonts w:eastAsia="宋体" w:cs="Times New Roman"/>
      <w:szCs w:val="24"/>
    </w:rPr>
  </w:style>
  <w:style w:type="paragraph" w:styleId="12">
    <w:name w:val="Body Text First Indent 2"/>
    <w:basedOn w:val="6"/>
    <w:next w:val="1"/>
    <w:unhideWhenUsed/>
    <w:qFormat/>
    <w:uiPriority w:val="99"/>
    <w:pPr>
      <w:ind w:firstLine="420" w:firstLineChars="200"/>
    </w:pPr>
    <w:rPr>
      <w:rFonts w:ascii="Times New Roman" w:hAnsi="Times New Roman" w:cs="Times New Roman"/>
      <w:sz w:val="32"/>
      <w:szCs w:val="24"/>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TableOfAuthoring"/>
    <w:next w:val="1"/>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2023-04-01T19:35:00Z</dcterms:created>
  <dc:creator> </dc:creator>
  <cp:lastModifiedBy>Administrator</cp:lastModifiedBy>
  <cp:lastPrinted>2023-07-04T18:47:00Z</cp:lastPrinted>
  <dcterms:modified xsi:type="dcterms:W3CDTF">2023-08-28T09:43:55Z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