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4D766">
      <w:pPr>
        <w:spacing w:line="600" w:lineRule="exact"/>
        <w:rPr>
          <w:rFonts w:hint="eastAsia" w:ascii="仿宋_GB2312" w:eastAsia="仿宋_GB2312"/>
          <w:sz w:val="32"/>
          <w:szCs w:val="32"/>
        </w:rPr>
      </w:pPr>
      <w:r>
        <w:rPr>
          <w:rFonts w:hint="eastAsia" w:ascii="仿宋_GB2312" w:eastAsia="仿宋_GB2312"/>
          <w:sz w:val="32"/>
          <w:szCs w:val="32"/>
        </w:rPr>
        <w:t>克政办明电〔20</w:t>
      </w:r>
      <w:r>
        <w:rPr>
          <w:rFonts w:hint="eastAsia" w:ascii="仿宋_GB2312" w:eastAsia="仿宋_GB2312"/>
          <w:sz w:val="32"/>
          <w:szCs w:val="32"/>
          <w:lang w:val="en-US" w:eastAsia="zh-CN"/>
        </w:rPr>
        <w:t>21</w:t>
      </w:r>
      <w:r>
        <w:rPr>
          <w:rFonts w:hint="eastAsia" w:ascii="仿宋_GB2312" w:eastAsia="仿宋_GB2312"/>
          <w:sz w:val="32"/>
          <w:szCs w:val="32"/>
        </w:rPr>
        <w:t>〕</w:t>
      </w:r>
      <w:r>
        <w:rPr>
          <w:rFonts w:hint="eastAsia" w:ascii="仿宋_GB2312" w:eastAsia="仿宋_GB2312"/>
          <w:sz w:val="32"/>
          <w:szCs w:val="32"/>
          <w:lang w:val="en-US" w:eastAsia="zh-CN"/>
        </w:rPr>
        <w:t>3</w:t>
      </w:r>
      <w:r>
        <w:rPr>
          <w:rFonts w:hint="eastAsia" w:ascii="仿宋_GB2312" w:eastAsia="仿宋_GB2312"/>
          <w:sz w:val="32"/>
          <w:szCs w:val="32"/>
        </w:rPr>
        <w:t>号</w:t>
      </w:r>
    </w:p>
    <w:p w14:paraId="26EDB688">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b/>
          <w:bCs/>
          <w:sz w:val="30"/>
        </w:rPr>
      </w:pPr>
    </w:p>
    <w:p w14:paraId="3A46F0A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auto"/>
          <w:w w:val="100"/>
          <w:sz w:val="44"/>
          <w:szCs w:val="44"/>
          <w:lang w:val="en-US" w:eastAsia="zh-CN"/>
        </w:rPr>
      </w:pPr>
    </w:p>
    <w:p w14:paraId="7AE755A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sz w:val="44"/>
          <w:szCs w:val="44"/>
          <w:lang w:val="en-US" w:eastAsia="zh-CN"/>
        </w:rPr>
      </w:pPr>
      <w:r>
        <w:rPr>
          <w:rFonts w:hint="eastAsia" w:ascii="方正小标宋简体" w:hAnsi="方正小标宋简体" w:eastAsia="方正小标宋简体" w:cs="方正小标宋简体"/>
          <w:b w:val="0"/>
          <w:bCs w:val="0"/>
          <w:spacing w:val="-6"/>
          <w:sz w:val="44"/>
          <w:szCs w:val="44"/>
          <w:lang w:eastAsia="zh-CN"/>
        </w:rPr>
        <w:t>关于印发《自治州城镇房屋建筑违法建设和违法</w:t>
      </w:r>
      <w:r>
        <w:rPr>
          <w:rFonts w:hint="eastAsia" w:ascii="方正小标宋简体" w:hAnsi="方正小标宋简体" w:eastAsia="方正小标宋简体" w:cs="方正小标宋简体"/>
          <w:b w:val="0"/>
          <w:bCs w:val="0"/>
          <w:sz w:val="44"/>
          <w:szCs w:val="44"/>
          <w:lang w:eastAsia="zh-CN"/>
        </w:rPr>
        <w:t>违规审批专项清查整治工作方案》的通知</w:t>
      </w:r>
    </w:p>
    <w:p w14:paraId="5A40845E">
      <w:pPr>
        <w:pStyle w:val="2"/>
        <w:keepNext w:val="0"/>
        <w:keepLines w:val="0"/>
        <w:pageBreakBefore w:val="0"/>
        <w:widowControl w:val="0"/>
        <w:kinsoku/>
        <w:wordWrap/>
        <w:overflowPunct/>
        <w:topLinePunct w:val="0"/>
        <w:autoSpaceDE/>
        <w:autoSpaceDN/>
        <w:bidi w:val="0"/>
        <w:spacing w:line="600" w:lineRule="exact"/>
        <w:textAlignment w:val="auto"/>
        <w:rPr>
          <w:rFonts w:hint="eastAsia"/>
          <w:w w:val="100"/>
          <w:sz w:val="32"/>
          <w:szCs w:val="32"/>
          <w:lang w:val="en-US" w:eastAsia="zh-CN"/>
        </w:rPr>
      </w:pPr>
    </w:p>
    <w:p w14:paraId="4EF3F5E4">
      <w:pPr>
        <w:pStyle w:val="12"/>
        <w:keepNext w:val="0"/>
        <w:keepLines w:val="0"/>
        <w:pageBreakBefore w:val="0"/>
        <w:widowControl w:val="0"/>
        <w:kinsoku/>
        <w:wordWrap/>
        <w:overflowPunct/>
        <w:topLinePunct w:val="0"/>
        <w:autoSpaceDE/>
        <w:autoSpaceDN/>
        <w:bidi w:val="0"/>
        <w:spacing w:line="600" w:lineRule="exact"/>
        <w:jc w:val="both"/>
        <w:textAlignment w:val="auto"/>
        <w:rPr>
          <w:rFonts w:hint="eastAsia" w:ascii="仿宋_GB2312" w:hAnsi="方正仿宋_GBK" w:eastAsia="仿宋_GB2312" w:cs="方正仿宋_GBK"/>
          <w:color w:val="000000" w:themeColor="text1"/>
          <w:w w:val="100"/>
          <w:sz w:val="32"/>
          <w:szCs w:val="32"/>
          <w14:textFill>
            <w14:solidFill>
              <w14:schemeClr w14:val="tx1"/>
            </w14:solidFill>
          </w14:textFill>
        </w:rPr>
      </w:pPr>
      <w:r>
        <w:rPr>
          <w:rFonts w:hint="eastAsia" w:ascii="仿宋_GB2312" w:hAnsi="方正仿宋_GBK" w:eastAsia="仿宋_GB2312" w:cs="方正仿宋_GBK"/>
          <w:color w:val="000000" w:themeColor="text1"/>
          <w:w w:val="100"/>
          <w:sz w:val="32"/>
          <w:szCs w:val="32"/>
          <w14:textFill>
            <w14:solidFill>
              <w14:schemeClr w14:val="tx1"/>
            </w14:solidFill>
          </w14:textFill>
        </w:rPr>
        <w:t>各县（市）人民政府，自治州人民政府各工作部门、州直各单位：</w:t>
      </w:r>
    </w:p>
    <w:p w14:paraId="0CCDA22A">
      <w:pPr>
        <w:pStyle w:val="12"/>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default" w:ascii="仿宋_GB2312" w:hAnsi="方正仿宋_GBK" w:eastAsia="仿宋_GB2312" w:cs="方正仿宋_GBK"/>
          <w:color w:val="000000" w:themeColor="text1"/>
          <w:w w:val="100"/>
          <w:sz w:val="32"/>
          <w:szCs w:val="32"/>
          <w:lang w:val="en-US" w:eastAsia="zh-CN"/>
          <w14:textFill>
            <w14:solidFill>
              <w14:schemeClr w14:val="tx1"/>
            </w14:solidFill>
          </w14:textFill>
        </w:rPr>
      </w:pPr>
      <w:r>
        <w:rPr>
          <w:rFonts w:hint="eastAsia" w:ascii="仿宋_GB2312" w:hAnsi="方正仿宋_GBK" w:eastAsia="仿宋_GB2312" w:cs="方正仿宋_GBK"/>
          <w:color w:val="000000" w:themeColor="text1"/>
          <w:w w:val="100"/>
          <w:sz w:val="32"/>
          <w:szCs w:val="32"/>
          <w:lang w:eastAsia="zh-CN"/>
          <w14:textFill>
            <w14:solidFill>
              <w14:schemeClr w14:val="tx1"/>
            </w14:solidFill>
          </w14:textFill>
        </w:rPr>
        <w:t>《自治州城镇房屋建筑违法建设和违法违规审批专项清查整治工作方案》已经自治州人民政府同意，现印发你们，请认真贯彻执行。</w:t>
      </w:r>
    </w:p>
    <w:p w14:paraId="5DF3FFE2">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eastAsia"/>
          <w:lang w:val="en-US" w:eastAsia="zh-CN"/>
        </w:rPr>
      </w:pPr>
      <w:r>
        <w:rPr>
          <w:rFonts w:hint="eastAsia" w:ascii="仿宋_GB2312" w:hAnsi="仿宋_GB2312" w:eastAsia="仿宋_GB2312" w:cs="仿宋_GB2312"/>
          <w:w w:val="100"/>
          <w:sz w:val="32"/>
          <w:szCs w:val="32"/>
          <w:lang w:val="en-US" w:eastAsia="zh-CN"/>
        </w:rPr>
        <w:t xml:space="preserve">    </w:t>
      </w:r>
    </w:p>
    <w:p w14:paraId="615A2748">
      <w:pPr>
        <w:keepNext w:val="0"/>
        <w:keepLines w:val="0"/>
        <w:pageBreakBefore w:val="0"/>
        <w:widowControl w:val="0"/>
        <w:kinsoku/>
        <w:wordWrap/>
        <w:overflowPunct/>
        <w:topLinePunct w:val="0"/>
        <w:autoSpaceDE/>
        <w:autoSpaceDN/>
        <w:bidi w:val="0"/>
        <w:adjustRightInd/>
        <w:snapToGrid/>
        <w:spacing w:line="600" w:lineRule="exact"/>
        <w:ind w:firstLine="2880" w:firstLineChars="900"/>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克孜勒苏柯尔克孜自治州人民政府办公室</w:t>
      </w:r>
    </w:p>
    <w:p w14:paraId="1A61DD1C">
      <w:pPr>
        <w:keepNext w:val="0"/>
        <w:keepLines w:val="0"/>
        <w:pageBreakBefore w:val="0"/>
        <w:widowControl w:val="0"/>
        <w:kinsoku/>
        <w:wordWrap/>
        <w:overflowPunct/>
        <w:topLinePunct w:val="0"/>
        <w:autoSpaceDE/>
        <w:autoSpaceDN/>
        <w:bidi w:val="0"/>
        <w:adjustRightInd/>
        <w:snapToGrid/>
        <w:spacing w:line="600" w:lineRule="exact"/>
        <w:ind w:firstLine="4500" w:firstLineChars="1500"/>
        <w:textAlignment w:val="auto"/>
        <w:rPr>
          <w:rFonts w:hint="eastAsia" w:ascii="仿宋_GB2312" w:hAnsi="仿宋_GB2312" w:eastAsia="仿宋_GB2312" w:cs="仿宋_GB2312"/>
          <w:w w:val="100"/>
          <w:sz w:val="32"/>
          <w:szCs w:val="32"/>
          <w:lang w:val="en-US" w:eastAsia="zh-CN"/>
        </w:rPr>
      </w:pPr>
      <w:r>
        <w:rPr>
          <w:sz w:val="30"/>
        </w:rPr>
        <mc:AlternateContent>
          <mc:Choice Requires="wps">
            <w:drawing>
              <wp:anchor distT="0" distB="0" distL="114300" distR="114300" simplePos="0" relativeHeight="251659264" behindDoc="0" locked="0" layoutInCell="1" allowOverlap="1">
                <wp:simplePos x="0" y="0"/>
                <wp:positionH relativeFrom="column">
                  <wp:posOffset>4659630</wp:posOffset>
                </wp:positionH>
                <wp:positionV relativeFrom="paragraph">
                  <wp:posOffset>715645</wp:posOffset>
                </wp:positionV>
                <wp:extent cx="1085215" cy="466725"/>
                <wp:effectExtent l="0" t="0" r="635" b="9525"/>
                <wp:wrapNone/>
                <wp:docPr id="6" name="文本框 6"/>
                <wp:cNvGraphicFramePr/>
                <a:graphic xmlns:a="http://schemas.openxmlformats.org/drawingml/2006/main">
                  <a:graphicData uri="http://schemas.microsoft.com/office/word/2010/wordprocessingShape">
                    <wps:wsp>
                      <wps:cNvSpPr txBox="1"/>
                      <wps:spPr>
                        <a:xfrm>
                          <a:off x="5937885" y="9570085"/>
                          <a:ext cx="1085215" cy="4667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D22F4C6">
                            <w:pPr>
                              <w:jc w:val="center"/>
                              <w:rPr>
                                <w:rFonts w:hint="eastAsia" w:ascii="宋体" w:hAnsi="宋体" w:eastAsia="宋体" w:cs="宋体"/>
                                <w:sz w:val="28"/>
                                <w:szCs w:val="28"/>
                                <w:lang w:val="en-US" w:eastAsia="zh-CN"/>
                              </w:rPr>
                            </w:pPr>
                            <w:r>
                              <w:rPr>
                                <w:rFonts w:hint="eastAsia" w:ascii="宋体" w:hAnsi="宋体" w:eastAsia="宋体" w:cs="宋体"/>
                                <w:sz w:val="28"/>
                                <w:szCs w:val="28"/>
                                <w:lang w:eastAsia="zh-CN"/>
                              </w:rPr>
                              <w:t>共</w:t>
                            </w:r>
                            <w:r>
                              <w:rPr>
                                <w:rFonts w:hint="eastAsia" w:ascii="宋体" w:hAnsi="宋体" w:eastAsia="宋体" w:cs="宋体"/>
                                <w:sz w:val="28"/>
                                <w:szCs w:val="28"/>
                                <w:lang w:val="en-US" w:eastAsia="zh-CN"/>
                              </w:rPr>
                              <w:t>14页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9pt;margin-top:56.35pt;height:36.75pt;width:85.45pt;z-index:251659264;mso-width-relative:page;mso-height-relative:page;" fillcolor="#FFFFFF [3201]" filled="t" stroked="f" coordsize="21600,21600" o:gfxdata="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G9sJizX&#10;AAAACwEAAA8AAAAAAAAAAQAgAAAAIgAAAGRycy9kb3ducmV2LnhtbFBLAQIUABQAAAAIAIdO4kAA&#10;kO5xWgIAAJsEAAAOAAAAAAAAAAEAIAAAACYBAABkcnMvZTJvRG9jLnhtbFBLBQYAAAAABgAGAFkB&#10;AADyBQAAAAA=&#10;">
                <v:fill on="t" focussize="0,0"/>
                <v:stroke on="f" weight="0.5pt"/>
                <v:imagedata o:title=""/>
                <o:lock v:ext="edit" aspectratio="f"/>
                <v:textbox>
                  <w:txbxContent>
                    <w:p w14:paraId="0D22F4C6">
                      <w:pPr>
                        <w:jc w:val="center"/>
                        <w:rPr>
                          <w:rFonts w:hint="eastAsia" w:ascii="宋体" w:hAnsi="宋体" w:eastAsia="宋体" w:cs="宋体"/>
                          <w:sz w:val="28"/>
                          <w:szCs w:val="28"/>
                          <w:lang w:val="en-US" w:eastAsia="zh-CN"/>
                        </w:rPr>
                      </w:pPr>
                      <w:r>
                        <w:rPr>
                          <w:rFonts w:hint="eastAsia" w:ascii="宋体" w:hAnsi="宋体" w:eastAsia="宋体" w:cs="宋体"/>
                          <w:sz w:val="28"/>
                          <w:szCs w:val="28"/>
                          <w:lang w:eastAsia="zh-CN"/>
                        </w:rPr>
                        <w:t>共</w:t>
                      </w:r>
                      <w:r>
                        <w:rPr>
                          <w:rFonts w:hint="eastAsia" w:ascii="宋体" w:hAnsi="宋体" w:eastAsia="宋体" w:cs="宋体"/>
                          <w:sz w:val="28"/>
                          <w:szCs w:val="28"/>
                          <w:lang w:val="en-US" w:eastAsia="zh-CN"/>
                        </w:rPr>
                        <w:t>14页</w:t>
                      </w:r>
                    </w:p>
                  </w:txbxContent>
                </v:textbox>
              </v:shape>
            </w:pict>
          </mc:Fallback>
        </mc:AlternateContent>
      </w:r>
      <w:r>
        <w:rPr>
          <w:rFonts w:hint="eastAsia" w:ascii="仿宋_GB2312" w:hAnsi="仿宋_GB2312" w:eastAsia="仿宋_GB2312" w:cs="仿宋_GB2312"/>
          <w:w w:val="100"/>
          <w:sz w:val="32"/>
          <w:szCs w:val="32"/>
          <w:lang w:val="en-US" w:eastAsia="zh-CN"/>
        </w:rPr>
        <w:t>2021年3月2日</w:t>
      </w:r>
    </w:p>
    <w:p w14:paraId="78CB61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自治州城镇房屋建筑违法建设和违法违规</w:t>
      </w:r>
    </w:p>
    <w:p w14:paraId="61B69F3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审批专项清查整治工作方案</w:t>
      </w:r>
    </w:p>
    <w:p w14:paraId="58CA2BF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为深入贯彻落实习近平总书记关于安全生产</w:t>
      </w:r>
      <w:r>
        <w:rPr>
          <w:rFonts w:hint="eastAsia" w:ascii="仿宋_GB2312" w:hAnsi="仿宋_GB2312" w:eastAsia="仿宋_GB2312" w:cs="仿宋_GB2312"/>
          <w:sz w:val="32"/>
          <w:szCs w:val="32"/>
          <w:lang w:val="en-US" w:eastAsia="zh-CN"/>
        </w:rPr>
        <w:t>的</w:t>
      </w:r>
      <w:bookmarkStart w:id="0" w:name="_GoBack"/>
      <w:bookmarkEnd w:id="0"/>
      <w:r>
        <w:rPr>
          <w:rFonts w:hint="eastAsia" w:ascii="仿宋_GB2312" w:hAnsi="仿宋_GB2312" w:eastAsia="仿宋_GB2312" w:cs="仿宋_GB2312"/>
          <w:sz w:val="32"/>
          <w:szCs w:val="32"/>
        </w:rPr>
        <w:t>重要指示批示精神，全面摸清自治</w:t>
      </w:r>
      <w:r>
        <w:rPr>
          <w:rFonts w:hint="eastAsia" w:ascii="仿宋_GB2312" w:hAnsi="仿宋_GB2312" w:eastAsia="仿宋_GB2312" w:cs="仿宋_GB2312"/>
          <w:sz w:val="32"/>
          <w:szCs w:val="32"/>
          <w:lang w:eastAsia="zh-CN"/>
        </w:rPr>
        <w:t>州</w:t>
      </w:r>
      <w:r>
        <w:rPr>
          <w:rFonts w:hint="eastAsia" w:ascii="仿宋_GB2312" w:hAnsi="仿宋_GB2312" w:eastAsia="仿宋_GB2312" w:cs="仿宋_GB2312"/>
          <w:sz w:val="32"/>
          <w:szCs w:val="32"/>
        </w:rPr>
        <w:t>城镇房屋建筑建设使用及安全情况底数，从根本上消除房屋建筑安全隐患，最大限度保障人民生命财产安全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eastAsia="zh-CN"/>
        </w:rPr>
        <w:t>《关于印发</w:t>
      </w:r>
      <w:r>
        <w:rPr>
          <w:rFonts w:hint="eastAsia" w:ascii="仿宋_GB2312" w:hAnsi="仿宋_GB2312" w:eastAsia="仿宋_GB2312" w:cs="仿宋_GB2312"/>
          <w:sz w:val="32"/>
          <w:szCs w:val="32"/>
          <w:lang w:val="en-US" w:eastAsia="zh-CN"/>
        </w:rPr>
        <w:t>&lt;</w:t>
      </w:r>
      <w:r>
        <w:rPr>
          <w:rFonts w:hint="eastAsia" w:ascii="仿宋_GB2312" w:hAnsi="仿宋_GB2312" w:eastAsia="仿宋_GB2312" w:cs="仿宋_GB2312"/>
          <w:sz w:val="32"/>
          <w:szCs w:val="32"/>
          <w:lang w:eastAsia="zh-CN"/>
        </w:rPr>
        <w:t>自治区城镇房屋建筑违法建设和违法违规审批专项清查整治工作实施方案</w:t>
      </w:r>
      <w:r>
        <w:rPr>
          <w:rFonts w:hint="eastAsia" w:ascii="仿宋_GB2312" w:hAnsi="仿宋_GB2312" w:eastAsia="仿宋_GB2312" w:cs="仿宋_GB2312"/>
          <w:sz w:val="32"/>
          <w:szCs w:val="32"/>
          <w:lang w:val="en-US" w:eastAsia="zh-CN"/>
        </w:rPr>
        <w:t>&gt;的</w:t>
      </w:r>
      <w:r>
        <w:rPr>
          <w:rFonts w:hint="eastAsia" w:ascii="仿宋_GB2312" w:hAnsi="仿宋_GB2312" w:eastAsia="仿宋_GB2312" w:cs="仿宋_GB2312"/>
          <w:sz w:val="32"/>
          <w:szCs w:val="32"/>
          <w:lang w:eastAsia="zh-CN"/>
        </w:rPr>
        <w:t>通知》（新政办明电</w:t>
      </w:r>
      <w:r>
        <w:rPr>
          <w:rFonts w:hint="eastAsia" w:ascii="仿宋_GB2312" w:eastAsia="仿宋_GB2312"/>
          <w:color w:val="auto"/>
          <w:sz w:val="32"/>
          <w:szCs w:val="32"/>
          <w:u w:val="none"/>
          <w:lang w:eastAsia="zh-CN"/>
        </w:rPr>
        <w:t>〔</w:t>
      </w:r>
      <w:r>
        <w:rPr>
          <w:rFonts w:hint="eastAsia" w:ascii="仿宋_GB2312" w:eastAsia="仿宋_GB2312"/>
          <w:color w:val="auto"/>
          <w:sz w:val="32"/>
          <w:szCs w:val="32"/>
          <w:u w:val="none"/>
          <w:lang w:val="en-US" w:eastAsia="zh-CN"/>
        </w:rPr>
        <w:t>2021〕</w:t>
      </w:r>
      <w:r>
        <w:rPr>
          <w:rFonts w:hint="default" w:ascii="仿宋_GB2312" w:hAnsi="仿宋_GB2312" w:eastAsia="仿宋_GB2312" w:cs="仿宋_GB2312"/>
          <w:sz w:val="32"/>
          <w:szCs w:val="32"/>
          <w:lang w:val="en-US" w:eastAsia="zh-CN"/>
        </w:rPr>
        <w:t>42</w:t>
      </w:r>
      <w:r>
        <w:rPr>
          <w:rFonts w:hint="eastAsia" w:ascii="仿宋_GB2312" w:hAnsi="仿宋_GB2312" w:eastAsia="仿宋_GB2312" w:cs="仿宋_GB2312"/>
          <w:sz w:val="32"/>
          <w:szCs w:val="32"/>
          <w:lang w:val="en-US" w:eastAsia="zh-CN"/>
        </w:rPr>
        <w:t>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有关部署安排，</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人民政府决定在全</w:t>
      </w:r>
      <w:r>
        <w:rPr>
          <w:rFonts w:hint="eastAsia" w:ascii="仿宋_GB2312" w:hAnsi="仿宋_GB2312" w:eastAsia="仿宋_GB2312" w:cs="仿宋_GB2312"/>
          <w:sz w:val="32"/>
          <w:szCs w:val="32"/>
          <w:lang w:eastAsia="zh-CN"/>
        </w:rPr>
        <w:t>州</w:t>
      </w:r>
      <w:r>
        <w:rPr>
          <w:rFonts w:hint="eastAsia" w:ascii="仿宋_GB2312" w:hAnsi="仿宋_GB2312" w:eastAsia="仿宋_GB2312" w:cs="仿宋_GB2312"/>
          <w:sz w:val="32"/>
          <w:szCs w:val="32"/>
        </w:rPr>
        <w:t>开展城镇房屋建筑违法建设和违法违规审批专项清查整治工作</w:t>
      </w:r>
      <w:r>
        <w:rPr>
          <w:rFonts w:hint="eastAsia" w:ascii="仿宋_GB2312" w:hAnsi="仿宋_GB2312" w:eastAsia="仿宋_GB2312" w:cs="仿宋_GB2312"/>
          <w:sz w:val="32"/>
          <w:szCs w:val="32"/>
          <w:lang w:eastAsia="zh-CN"/>
        </w:rPr>
        <w:t>。</w:t>
      </w:r>
    </w:p>
    <w:p w14:paraId="42E94B3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640" w:leftChars="0" w:firstLine="0" w:firstLineChars="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目标任务</w:t>
      </w:r>
    </w:p>
    <w:p w14:paraId="549C67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坚持以习近平新时代中国特色社会主义思想为指导，深入贯彻落实习近平总书记关于安全生产的重要论述，坚持人民至上、生命至上，树牢安全发展理念，强化底线思维和红线意识，深化源头治理、系统治理和综合治理，完善和落实“从根本上消除事故隐患”的责任链条、制度成果、管理办法、重点任务和工作机制，突出问题导向，坚决堵漏洞、补短板、扫死角，坚决遏制增量、有序化解存量，彻底清除安全隐患，通过两年努力，基本建立常态化房屋安全管理体系，强化部门监管责任和产权所有者主体责任落实，基本消除各类房屋结构安全隐患，为保障经济社会平稳健康发展，创造安全稳定环境。</w:t>
      </w:r>
      <w:r>
        <w:rPr>
          <w:rFonts w:hint="eastAsia" w:ascii="仿宋_GB2312" w:hAnsi="仿宋_GB2312" w:eastAsia="仿宋_GB2312" w:cs="仿宋_GB2312"/>
          <w:sz w:val="32"/>
          <w:szCs w:val="32"/>
          <w:lang w:val="en-US" w:eastAsia="zh-CN"/>
        </w:rPr>
        <w:t xml:space="preserve">  </w:t>
      </w:r>
    </w:p>
    <w:p w14:paraId="027D61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二、清查整治范围和重点</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(一)清查整治范围:</w:t>
      </w:r>
      <w:r>
        <w:rPr>
          <w:rFonts w:hint="eastAsia" w:ascii="仿宋_GB2312" w:hAnsi="仿宋_GB2312" w:eastAsia="仿宋_GB2312" w:cs="仿宋_GB2312"/>
          <w:sz w:val="32"/>
          <w:szCs w:val="32"/>
          <w:lang w:eastAsia="zh-CN"/>
        </w:rPr>
        <w:t>三县一市</w:t>
      </w:r>
      <w:r>
        <w:rPr>
          <w:rFonts w:hint="eastAsia" w:ascii="仿宋_GB2312" w:hAnsi="仿宋_GB2312" w:eastAsia="仿宋_GB2312" w:cs="仿宋_GB2312"/>
          <w:sz w:val="32"/>
          <w:szCs w:val="32"/>
        </w:rPr>
        <w:t>城市(镇)建成区内所有既有和</w:t>
      </w:r>
      <w:r>
        <w:rPr>
          <w:rFonts w:hint="eastAsia" w:ascii="仿宋_GB2312" w:hAnsi="仿宋_GB2312" w:eastAsia="仿宋_GB2312" w:cs="仿宋_GB2312"/>
          <w:sz w:val="32"/>
          <w:szCs w:val="32"/>
          <w:lang w:eastAsia="zh-CN"/>
        </w:rPr>
        <w:t>在建</w:t>
      </w:r>
      <w:r>
        <w:rPr>
          <w:rFonts w:hint="eastAsia" w:ascii="仿宋_GB2312" w:hAnsi="仿宋_GB2312" w:eastAsia="仿宋_GB2312" w:cs="仿宋_GB2312"/>
          <w:sz w:val="32"/>
          <w:szCs w:val="32"/>
        </w:rPr>
        <w:t>房屋建筑工程。</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(二)清查整治重点:</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1.违法建设行为:</w:t>
      </w:r>
    </w:p>
    <w:p w14:paraId="4B2B0259">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630" w:leftChars="0" w:firstLineChars="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未依法办理立项手续的房屋建筑</w:t>
      </w:r>
      <w:r>
        <w:rPr>
          <w:rFonts w:hint="eastAsia" w:ascii="仿宋_GB2312" w:hAnsi="仿宋_GB2312" w:eastAsia="仿宋_GB2312" w:cs="仿宋_GB2312"/>
          <w:sz w:val="32"/>
          <w:szCs w:val="32"/>
          <w:lang w:eastAsia="zh-CN"/>
        </w:rPr>
        <w:t>；</w:t>
      </w:r>
    </w:p>
    <w:p w14:paraId="1D703976">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630" w:leftChars="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违法占地建设的房屋建筑;</w:t>
      </w:r>
    </w:p>
    <w:p w14:paraId="3A0139E1">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630" w:leftChars="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未取得建设工程规划许可证或未按照建设工程规</w:t>
      </w:r>
    </w:p>
    <w:p w14:paraId="2B7E764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划许可证规定进行建设的房屋建筑</w:t>
      </w:r>
      <w:r>
        <w:rPr>
          <w:rFonts w:hint="eastAsia" w:ascii="仿宋_GB2312" w:hAnsi="仿宋_GB2312" w:eastAsia="仿宋_GB2312" w:cs="仿宋_GB2312"/>
          <w:sz w:val="32"/>
          <w:szCs w:val="32"/>
          <w:lang w:eastAsia="zh-CN"/>
        </w:rPr>
        <w:t>；</w:t>
      </w:r>
    </w:p>
    <w:p w14:paraId="5D7082B3">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630" w:leftChars="0" w:firstLine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未依法取得施工许可证擅自施工的房屋建筑</w:t>
      </w:r>
      <w:r>
        <w:rPr>
          <w:rFonts w:hint="eastAsia" w:ascii="仿宋_GB2312" w:hAnsi="仿宋_GB2312" w:eastAsia="仿宋_GB2312" w:cs="仿宋_GB2312"/>
          <w:sz w:val="32"/>
          <w:szCs w:val="32"/>
          <w:lang w:eastAsia="zh-CN"/>
        </w:rPr>
        <w:t>；</w:t>
      </w:r>
    </w:p>
    <w:p w14:paraId="2DC9C62F">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630" w:leftChars="0" w:firstLine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无资质设计、施工的房屋建筑;</w:t>
      </w:r>
    </w:p>
    <w:p w14:paraId="17D5E702">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630" w:leftChars="0" w:firstLine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未办理竣工验收擅自投入使用的房屋建筑</w:t>
      </w:r>
      <w:r>
        <w:rPr>
          <w:rFonts w:hint="eastAsia" w:ascii="仿宋_GB2312" w:hAnsi="仿宋_GB2312" w:eastAsia="仿宋_GB2312" w:cs="仿宋_GB2312"/>
          <w:sz w:val="32"/>
          <w:szCs w:val="32"/>
          <w:lang w:eastAsia="zh-CN"/>
        </w:rPr>
        <w:t>；</w:t>
      </w:r>
    </w:p>
    <w:p w14:paraId="14D900D4">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630" w:leftChars="0" w:firstLine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擅自改变使用功能、房屋结构和布局，违法改扩</w:t>
      </w:r>
    </w:p>
    <w:p w14:paraId="120B50F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建的房屋建筑(含加层、增设夹层、开挖地下空间、分隔群租等情形)</w:t>
      </w:r>
      <w:r>
        <w:rPr>
          <w:rFonts w:hint="eastAsia" w:ascii="仿宋_GB2312" w:hAnsi="仿宋_GB2312" w:eastAsia="仿宋_GB2312" w:cs="仿宋_GB2312"/>
          <w:sz w:val="32"/>
          <w:szCs w:val="32"/>
          <w:lang w:eastAsia="zh-CN"/>
        </w:rPr>
        <w:t>；</w:t>
      </w:r>
    </w:p>
    <w:p w14:paraId="7078EA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存在重大结构安全隐患可能发生坍塌的房屋</w:t>
      </w:r>
      <w:r>
        <w:rPr>
          <w:rFonts w:hint="eastAsia" w:ascii="仿宋_GB2312" w:hAnsi="仿宋_GB2312" w:eastAsia="仿宋_GB2312" w:cs="仿宋_GB2312"/>
          <w:sz w:val="32"/>
          <w:szCs w:val="32"/>
          <w:lang w:eastAsia="zh-CN"/>
        </w:rPr>
        <w:t>建筑；</w:t>
      </w:r>
    </w:p>
    <w:p w14:paraId="256B8A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存在第一项至第八项问题情形并违规取得消防、工商登记以及其他生产经营许可，或者未依法取得消防、工商登记以及其他生产经营许可，用作生产经营或公共事业的房屋建筑，特别是人员密集场所房屋建筑。</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2.违法违规审批行为:</w:t>
      </w:r>
    </w:p>
    <w:p w14:paraId="42248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立项审批违法违规行为;</w:t>
      </w:r>
    </w:p>
    <w:p w14:paraId="1B2A79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用地审批违法违规行为;</w:t>
      </w:r>
    </w:p>
    <w:p w14:paraId="13E9E9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规划审批违法违规行为;</w:t>
      </w:r>
    </w:p>
    <w:p w14:paraId="5E5702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施工许可审批违法违规行为;</w:t>
      </w:r>
    </w:p>
    <w:p w14:paraId="0E92AD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经营审批违法违规行为。</w:t>
      </w:r>
    </w:p>
    <w:p w14:paraId="614716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rPr>
        <w:t>三、</w:t>
      </w:r>
      <w:r>
        <w:rPr>
          <w:rFonts w:hint="eastAsia" w:ascii="黑体" w:hAnsi="黑体" w:eastAsia="黑体" w:cs="黑体"/>
          <w:b w:val="0"/>
          <w:bCs w:val="0"/>
          <w:sz w:val="32"/>
          <w:szCs w:val="32"/>
          <w:lang w:eastAsia="zh-CN"/>
        </w:rPr>
        <w:t>领导小组</w:t>
      </w:r>
    </w:p>
    <w:p w14:paraId="2F3F3F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rPr>
        <w:t>加强</w:t>
      </w:r>
      <w:r>
        <w:rPr>
          <w:rFonts w:hint="eastAsia" w:ascii="仿宋_GB2312" w:hAnsi="仿宋_GB2312" w:eastAsia="仿宋_GB2312" w:cs="仿宋_GB2312"/>
          <w:sz w:val="32"/>
          <w:szCs w:val="32"/>
          <w:lang w:eastAsia="zh-CN"/>
        </w:rPr>
        <w:t>组织领导</w:t>
      </w:r>
      <w:r>
        <w:rPr>
          <w:rFonts w:hint="eastAsia" w:ascii="仿宋_GB2312" w:hAnsi="仿宋_GB2312" w:eastAsia="仿宋_GB2312" w:cs="仿宋_GB2312"/>
          <w:sz w:val="32"/>
          <w:szCs w:val="32"/>
        </w:rPr>
        <w:t>，明确目标任务，自治</w:t>
      </w:r>
      <w:r>
        <w:rPr>
          <w:rFonts w:hint="eastAsia" w:ascii="仿宋_GB2312" w:hAnsi="仿宋_GB2312" w:eastAsia="仿宋_GB2312" w:cs="仿宋_GB2312"/>
          <w:sz w:val="32"/>
          <w:szCs w:val="32"/>
          <w:lang w:eastAsia="zh-CN"/>
        </w:rPr>
        <w:t>州人民政府决定成立</w:t>
      </w:r>
      <w:r>
        <w:rPr>
          <w:rFonts w:hint="eastAsia" w:ascii="仿宋_GB2312" w:hAnsi="仿宋_GB2312" w:eastAsia="仿宋_GB2312" w:cs="仿宋_GB2312"/>
          <w:sz w:val="32"/>
          <w:szCs w:val="32"/>
        </w:rPr>
        <w:t>城镇房屋建筑违法建设和违法违规审批专项清查整治工作(以下简称两违清查整治工作)</w:t>
      </w:r>
      <w:r>
        <w:rPr>
          <w:rFonts w:hint="eastAsia" w:ascii="仿宋_GB2312" w:hAnsi="仿宋_GB2312" w:eastAsia="仿宋_GB2312" w:cs="仿宋_GB2312"/>
          <w:sz w:val="32"/>
          <w:szCs w:val="32"/>
          <w:lang w:eastAsia="zh-CN"/>
        </w:rPr>
        <w:t>领导小组，组成人员如下：</w:t>
      </w:r>
    </w:p>
    <w:tbl>
      <w:tblPr>
        <w:tblStyle w:val="9"/>
        <w:tblW w:w="873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28"/>
        <w:gridCol w:w="3299"/>
        <w:gridCol w:w="4012"/>
      </w:tblGrid>
      <w:tr w14:paraId="55F21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dxa"/>
            <w:tcBorders>
              <w:tl2br w:val="nil"/>
              <w:tr2bl w:val="nil"/>
            </w:tcBorders>
          </w:tcPr>
          <w:p w14:paraId="25E7621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组</w:t>
            </w:r>
            <w:r>
              <w:rPr>
                <w:rFonts w:hint="eastAsia" w:ascii="仿宋_GB2312" w:hAnsi="仿宋_GB2312" w:eastAsia="仿宋_GB2312" w:cs="仿宋_GB2312"/>
                <w:sz w:val="32"/>
                <w:szCs w:val="32"/>
                <w:vertAlign w:val="baseline"/>
                <w:lang w:val="en-US" w:eastAsia="zh-CN"/>
              </w:rPr>
              <w:t xml:space="preserve">  </w:t>
            </w:r>
            <w:r>
              <w:rPr>
                <w:rFonts w:hint="eastAsia" w:ascii="仿宋_GB2312" w:hAnsi="仿宋_GB2312" w:eastAsia="仿宋_GB2312" w:cs="仿宋_GB2312"/>
                <w:sz w:val="32"/>
                <w:szCs w:val="32"/>
                <w:vertAlign w:val="baseline"/>
                <w:lang w:eastAsia="zh-CN"/>
              </w:rPr>
              <w:t>长：</w:t>
            </w:r>
          </w:p>
        </w:tc>
        <w:tc>
          <w:tcPr>
            <w:tcW w:w="3299" w:type="dxa"/>
            <w:tcBorders>
              <w:tl2br w:val="nil"/>
              <w:tr2bl w:val="nil"/>
            </w:tcBorders>
          </w:tcPr>
          <w:p w14:paraId="76B0AA8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eastAsia="zh-CN"/>
              </w:rPr>
              <w:t>迪力夏提</w:t>
            </w:r>
            <w:r>
              <w:rPr>
                <w:rFonts w:hint="eastAsia" w:ascii="仿宋_GB2312" w:hAnsi="仿宋_GB2312" w:eastAsia="仿宋_GB2312" w:cs="仿宋_GB2312"/>
                <w:sz w:val="32"/>
                <w:szCs w:val="32"/>
                <w:vertAlign w:val="baseline"/>
                <w:lang w:val="en-US" w:eastAsia="zh-CN"/>
              </w:rPr>
              <w:t>·柯德尔汗</w:t>
            </w:r>
          </w:p>
        </w:tc>
        <w:tc>
          <w:tcPr>
            <w:tcW w:w="4012" w:type="dxa"/>
            <w:tcBorders>
              <w:tl2br w:val="nil"/>
              <w:tr2bl w:val="nil"/>
            </w:tcBorders>
          </w:tcPr>
          <w:p w14:paraId="3A1C50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州委副书记、州长</w:t>
            </w:r>
          </w:p>
        </w:tc>
      </w:tr>
      <w:tr w14:paraId="6CF39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dxa"/>
            <w:tcBorders>
              <w:tl2br w:val="nil"/>
              <w:tr2bl w:val="nil"/>
            </w:tcBorders>
          </w:tcPr>
          <w:p w14:paraId="3967974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副组长：</w:t>
            </w:r>
          </w:p>
        </w:tc>
        <w:tc>
          <w:tcPr>
            <w:tcW w:w="3299" w:type="dxa"/>
            <w:tcBorders>
              <w:tl2br w:val="nil"/>
              <w:tr2bl w:val="nil"/>
            </w:tcBorders>
          </w:tcPr>
          <w:p w14:paraId="503FE73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刘振福</w:t>
            </w:r>
          </w:p>
        </w:tc>
        <w:tc>
          <w:tcPr>
            <w:tcW w:w="4012" w:type="dxa"/>
            <w:tcBorders>
              <w:tl2br w:val="nil"/>
              <w:tr2bl w:val="nil"/>
            </w:tcBorders>
          </w:tcPr>
          <w:p w14:paraId="6FE5415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州委常委、副州长</w:t>
            </w:r>
          </w:p>
        </w:tc>
      </w:tr>
      <w:tr w14:paraId="24554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dxa"/>
            <w:tcBorders>
              <w:tl2br w:val="nil"/>
              <w:tr2bl w:val="nil"/>
            </w:tcBorders>
          </w:tcPr>
          <w:p w14:paraId="6528E08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成</w:t>
            </w:r>
            <w:r>
              <w:rPr>
                <w:rFonts w:hint="eastAsia" w:ascii="仿宋_GB2312" w:hAnsi="仿宋_GB2312" w:eastAsia="仿宋_GB2312" w:cs="仿宋_GB2312"/>
                <w:sz w:val="32"/>
                <w:szCs w:val="32"/>
                <w:vertAlign w:val="baseline"/>
                <w:lang w:val="en-US" w:eastAsia="zh-CN"/>
              </w:rPr>
              <w:t xml:space="preserve">  </w:t>
            </w:r>
            <w:r>
              <w:rPr>
                <w:rFonts w:hint="eastAsia" w:ascii="仿宋_GB2312" w:hAnsi="仿宋_GB2312" w:eastAsia="仿宋_GB2312" w:cs="仿宋_GB2312"/>
                <w:sz w:val="32"/>
                <w:szCs w:val="32"/>
                <w:vertAlign w:val="baseline"/>
                <w:lang w:eastAsia="zh-CN"/>
              </w:rPr>
              <w:t>员：</w:t>
            </w:r>
          </w:p>
        </w:tc>
        <w:tc>
          <w:tcPr>
            <w:tcW w:w="3299" w:type="dxa"/>
            <w:tcBorders>
              <w:tl2br w:val="nil"/>
              <w:tr2bl w:val="nil"/>
            </w:tcBorders>
            <w:vAlign w:val="top"/>
          </w:tcPr>
          <w:p w14:paraId="626BA46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司亚尔</w:t>
            </w:r>
            <w:r>
              <w:rPr>
                <w:rFonts w:hint="eastAsia" w:ascii="仿宋_GB2312" w:hAnsi="仿宋_GB2312" w:eastAsia="仿宋_GB2312" w:cs="仿宋_GB2312"/>
                <w:sz w:val="32"/>
                <w:szCs w:val="32"/>
                <w:vertAlign w:val="baseline"/>
                <w:lang w:val="en-US" w:eastAsia="zh-CN"/>
              </w:rPr>
              <w:t>·哈兰</w:t>
            </w:r>
          </w:p>
        </w:tc>
        <w:tc>
          <w:tcPr>
            <w:tcW w:w="4012" w:type="dxa"/>
            <w:tcBorders>
              <w:tl2br w:val="nil"/>
              <w:tr2bl w:val="nil"/>
            </w:tcBorders>
            <w:vAlign w:val="top"/>
          </w:tcPr>
          <w:p w14:paraId="03E2756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pacing w:val="-23"/>
                <w:sz w:val="32"/>
                <w:szCs w:val="32"/>
                <w:vertAlign w:val="baseline"/>
                <w:lang w:eastAsia="zh-CN"/>
              </w:rPr>
              <w:t>副州长、乌恰县委副书记、县长</w:t>
            </w:r>
          </w:p>
        </w:tc>
      </w:tr>
      <w:tr w14:paraId="04AA8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dxa"/>
            <w:tcBorders>
              <w:tl2br w:val="nil"/>
              <w:tr2bl w:val="nil"/>
            </w:tcBorders>
          </w:tcPr>
          <w:p w14:paraId="26A8EAA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p>
        </w:tc>
        <w:tc>
          <w:tcPr>
            <w:tcW w:w="3299" w:type="dxa"/>
            <w:tcBorders>
              <w:tl2br w:val="nil"/>
              <w:tr2bl w:val="nil"/>
            </w:tcBorders>
            <w:vAlign w:val="top"/>
          </w:tcPr>
          <w:p w14:paraId="1EC109E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kern w:val="0"/>
                <w:sz w:val="32"/>
                <w:szCs w:val="32"/>
                <w:lang w:val="en-US" w:eastAsia="zh-CN"/>
              </w:rPr>
              <w:t>张海滨</w:t>
            </w:r>
          </w:p>
        </w:tc>
        <w:tc>
          <w:tcPr>
            <w:tcW w:w="4012" w:type="dxa"/>
            <w:tcBorders>
              <w:tl2br w:val="nil"/>
              <w:tr2bl w:val="nil"/>
            </w:tcBorders>
            <w:vAlign w:val="top"/>
          </w:tcPr>
          <w:p w14:paraId="3FEF5B6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lang w:val="en-US" w:eastAsia="zh-CN"/>
              </w:rPr>
              <w:t>州政府秘书长</w:t>
            </w:r>
          </w:p>
        </w:tc>
      </w:tr>
      <w:tr w14:paraId="725C8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dxa"/>
            <w:tcBorders>
              <w:tl2br w:val="nil"/>
              <w:tr2bl w:val="nil"/>
            </w:tcBorders>
          </w:tcPr>
          <w:p w14:paraId="1A09DBB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p>
        </w:tc>
        <w:tc>
          <w:tcPr>
            <w:tcW w:w="3299" w:type="dxa"/>
            <w:tcBorders>
              <w:tl2br w:val="nil"/>
              <w:tr2bl w:val="nil"/>
            </w:tcBorders>
            <w:vAlign w:val="top"/>
          </w:tcPr>
          <w:p w14:paraId="5E7084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kern w:val="0"/>
                <w:sz w:val="32"/>
                <w:szCs w:val="32"/>
                <w:lang w:val="en-US" w:eastAsia="zh-CN"/>
              </w:rPr>
              <w:t>黄  健</w:t>
            </w:r>
          </w:p>
        </w:tc>
        <w:tc>
          <w:tcPr>
            <w:tcW w:w="4012" w:type="dxa"/>
            <w:tcBorders>
              <w:tl2br w:val="nil"/>
              <w:tr2bl w:val="nil"/>
            </w:tcBorders>
            <w:vAlign w:val="top"/>
          </w:tcPr>
          <w:p w14:paraId="704F000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pacing w:val="-11"/>
                <w:sz w:val="32"/>
                <w:szCs w:val="32"/>
                <w:lang w:val="en-US" w:eastAsia="zh-CN"/>
              </w:rPr>
              <w:t>州政府副秘书长、办公室主任</w:t>
            </w:r>
          </w:p>
        </w:tc>
      </w:tr>
      <w:tr w14:paraId="2A196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dxa"/>
            <w:tcBorders>
              <w:tl2br w:val="nil"/>
              <w:tr2bl w:val="nil"/>
            </w:tcBorders>
          </w:tcPr>
          <w:p w14:paraId="25A887D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p>
        </w:tc>
        <w:tc>
          <w:tcPr>
            <w:tcW w:w="3299" w:type="dxa"/>
            <w:tcBorders>
              <w:tl2br w:val="nil"/>
              <w:tr2bl w:val="nil"/>
            </w:tcBorders>
            <w:vAlign w:val="top"/>
          </w:tcPr>
          <w:p w14:paraId="136A9A5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王</w:t>
            </w:r>
            <w:r>
              <w:rPr>
                <w:rFonts w:hint="eastAsia" w:ascii="仿宋_GB2312" w:hAnsi="仿宋_GB2312" w:eastAsia="仿宋_GB2312" w:cs="仿宋_GB2312"/>
                <w:sz w:val="32"/>
                <w:szCs w:val="32"/>
                <w:vertAlign w:val="baseline"/>
                <w:lang w:val="en-US" w:eastAsia="zh-CN"/>
              </w:rPr>
              <w:t xml:space="preserve">  </w:t>
            </w:r>
            <w:r>
              <w:rPr>
                <w:rFonts w:hint="eastAsia" w:ascii="仿宋_GB2312" w:hAnsi="仿宋_GB2312" w:eastAsia="仿宋_GB2312" w:cs="仿宋_GB2312"/>
                <w:sz w:val="32"/>
                <w:szCs w:val="32"/>
                <w:vertAlign w:val="baseline"/>
                <w:lang w:eastAsia="zh-CN"/>
              </w:rPr>
              <w:t>斌</w:t>
            </w:r>
          </w:p>
        </w:tc>
        <w:tc>
          <w:tcPr>
            <w:tcW w:w="4012" w:type="dxa"/>
            <w:tcBorders>
              <w:tl2br w:val="nil"/>
              <w:tr2bl w:val="nil"/>
            </w:tcBorders>
            <w:vAlign w:val="top"/>
          </w:tcPr>
          <w:p w14:paraId="0AB4536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州发改委</w:t>
            </w:r>
            <w:r>
              <w:rPr>
                <w:rFonts w:hint="eastAsia" w:ascii="仿宋_GB2312" w:hAnsi="仿宋_GB2312" w:eastAsia="仿宋_GB2312" w:cs="仿宋_GB2312"/>
                <w:sz w:val="32"/>
                <w:szCs w:val="32"/>
                <w:vertAlign w:val="baseline"/>
                <w:lang w:val="en-US" w:eastAsia="zh-CN"/>
              </w:rPr>
              <w:t>主任</w:t>
            </w:r>
          </w:p>
        </w:tc>
      </w:tr>
      <w:tr w14:paraId="43A6E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dxa"/>
            <w:tcBorders>
              <w:tl2br w:val="nil"/>
              <w:tr2bl w:val="nil"/>
            </w:tcBorders>
          </w:tcPr>
          <w:p w14:paraId="36CC33C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p>
        </w:tc>
        <w:tc>
          <w:tcPr>
            <w:tcW w:w="3299" w:type="dxa"/>
            <w:tcBorders>
              <w:tl2br w:val="nil"/>
              <w:tr2bl w:val="nil"/>
            </w:tcBorders>
            <w:vAlign w:val="top"/>
          </w:tcPr>
          <w:p w14:paraId="7D4C13C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eastAsia="zh-CN"/>
              </w:rPr>
              <w:t>王海江</w:t>
            </w:r>
          </w:p>
        </w:tc>
        <w:tc>
          <w:tcPr>
            <w:tcW w:w="4012" w:type="dxa"/>
            <w:tcBorders>
              <w:tl2br w:val="nil"/>
              <w:tr2bl w:val="nil"/>
            </w:tcBorders>
            <w:vAlign w:val="top"/>
          </w:tcPr>
          <w:p w14:paraId="234A183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州住建局（人防办）局长</w:t>
            </w:r>
          </w:p>
        </w:tc>
      </w:tr>
      <w:tr w14:paraId="1F932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dxa"/>
            <w:tcBorders>
              <w:tl2br w:val="nil"/>
              <w:tr2bl w:val="nil"/>
            </w:tcBorders>
          </w:tcPr>
          <w:p w14:paraId="093E408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p>
        </w:tc>
        <w:tc>
          <w:tcPr>
            <w:tcW w:w="3299" w:type="dxa"/>
            <w:tcBorders>
              <w:tl2br w:val="nil"/>
              <w:tr2bl w:val="nil"/>
            </w:tcBorders>
            <w:vAlign w:val="top"/>
          </w:tcPr>
          <w:p w14:paraId="68FCE1C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闫</w:t>
            </w:r>
            <w:r>
              <w:rPr>
                <w:rFonts w:hint="eastAsia" w:ascii="仿宋_GB2312" w:hAnsi="仿宋_GB2312" w:eastAsia="仿宋_GB2312" w:cs="仿宋_GB2312"/>
                <w:sz w:val="32"/>
                <w:szCs w:val="32"/>
                <w:vertAlign w:val="baseline"/>
                <w:lang w:val="en-US" w:eastAsia="zh-CN"/>
              </w:rPr>
              <w:t xml:space="preserve">  </w:t>
            </w:r>
            <w:r>
              <w:rPr>
                <w:rFonts w:hint="eastAsia" w:ascii="仿宋_GB2312" w:hAnsi="仿宋_GB2312" w:eastAsia="仿宋_GB2312" w:cs="仿宋_GB2312"/>
                <w:sz w:val="32"/>
                <w:szCs w:val="32"/>
                <w:vertAlign w:val="baseline"/>
                <w:lang w:eastAsia="zh-CN"/>
              </w:rPr>
              <w:t>俊</w:t>
            </w:r>
          </w:p>
        </w:tc>
        <w:tc>
          <w:tcPr>
            <w:tcW w:w="4012" w:type="dxa"/>
            <w:tcBorders>
              <w:tl2br w:val="nil"/>
              <w:tr2bl w:val="nil"/>
            </w:tcBorders>
            <w:vAlign w:val="top"/>
          </w:tcPr>
          <w:p w14:paraId="73E50F3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pacing w:val="-23"/>
                <w:sz w:val="32"/>
                <w:szCs w:val="32"/>
                <w:vertAlign w:val="baseline"/>
                <w:lang w:val="en-US" w:eastAsia="zh-CN"/>
              </w:rPr>
              <w:t>州自然资源局党组书记、副局长</w:t>
            </w:r>
          </w:p>
        </w:tc>
      </w:tr>
      <w:tr w14:paraId="21493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dxa"/>
            <w:tcBorders>
              <w:tl2br w:val="nil"/>
              <w:tr2bl w:val="nil"/>
            </w:tcBorders>
          </w:tcPr>
          <w:p w14:paraId="6DC437F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p>
        </w:tc>
        <w:tc>
          <w:tcPr>
            <w:tcW w:w="3299" w:type="dxa"/>
            <w:tcBorders>
              <w:tl2br w:val="nil"/>
              <w:tr2bl w:val="nil"/>
            </w:tcBorders>
            <w:vAlign w:val="top"/>
          </w:tcPr>
          <w:p w14:paraId="2934ED8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阿力木</w:t>
            </w:r>
            <w:r>
              <w:rPr>
                <w:rFonts w:hint="eastAsia" w:ascii="仿宋_GB2312" w:hAnsi="仿宋_GB2312" w:eastAsia="仿宋_GB2312" w:cs="仿宋_GB2312"/>
                <w:sz w:val="32"/>
                <w:szCs w:val="32"/>
                <w:vertAlign w:val="baseline"/>
                <w:lang w:val="en-US" w:eastAsia="zh-CN"/>
              </w:rPr>
              <w:t>·阿塔乌拉</w:t>
            </w:r>
          </w:p>
        </w:tc>
        <w:tc>
          <w:tcPr>
            <w:tcW w:w="4012" w:type="dxa"/>
            <w:tcBorders>
              <w:tl2br w:val="nil"/>
              <w:tr2bl w:val="nil"/>
            </w:tcBorders>
            <w:vAlign w:val="top"/>
          </w:tcPr>
          <w:p w14:paraId="602A80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州应急管理局局长</w:t>
            </w:r>
          </w:p>
        </w:tc>
      </w:tr>
      <w:tr w14:paraId="16535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dxa"/>
            <w:tcBorders>
              <w:tl2br w:val="nil"/>
              <w:tr2bl w:val="nil"/>
            </w:tcBorders>
          </w:tcPr>
          <w:p w14:paraId="5BB3882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p>
        </w:tc>
        <w:tc>
          <w:tcPr>
            <w:tcW w:w="3299" w:type="dxa"/>
            <w:tcBorders>
              <w:tl2br w:val="nil"/>
              <w:tr2bl w:val="nil"/>
            </w:tcBorders>
          </w:tcPr>
          <w:p w14:paraId="588A297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pacing w:val="0"/>
                <w:w w:val="90"/>
                <w:kern w:val="0"/>
                <w:sz w:val="32"/>
                <w:szCs w:val="32"/>
                <w:fitText w:val="2880" w:id="29049583"/>
                <w:vertAlign w:val="baseline"/>
                <w:lang w:eastAsia="zh-CN"/>
              </w:rPr>
              <w:t>吐尔迪古丽</w:t>
            </w:r>
            <w:r>
              <w:rPr>
                <w:rFonts w:hint="eastAsia" w:ascii="仿宋_GB2312" w:hAnsi="仿宋_GB2312" w:eastAsia="仿宋_GB2312" w:cs="仿宋_GB2312"/>
                <w:spacing w:val="0"/>
                <w:w w:val="90"/>
                <w:kern w:val="0"/>
                <w:sz w:val="32"/>
                <w:szCs w:val="32"/>
                <w:fitText w:val="2880" w:id="29049583"/>
                <w:vertAlign w:val="baseline"/>
                <w:lang w:val="en-US" w:eastAsia="zh-CN"/>
              </w:rPr>
              <w:t>·塔什白</w:t>
            </w:r>
            <w:r>
              <w:rPr>
                <w:rFonts w:hint="eastAsia" w:ascii="仿宋_GB2312" w:hAnsi="仿宋_GB2312" w:eastAsia="仿宋_GB2312" w:cs="仿宋_GB2312"/>
                <w:spacing w:val="2"/>
                <w:w w:val="90"/>
                <w:kern w:val="0"/>
                <w:sz w:val="32"/>
                <w:szCs w:val="32"/>
                <w:fitText w:val="2880" w:id="29049583"/>
                <w:vertAlign w:val="baseline"/>
                <w:lang w:val="en-US" w:eastAsia="zh-CN"/>
              </w:rPr>
              <w:t>克</w:t>
            </w:r>
          </w:p>
        </w:tc>
        <w:tc>
          <w:tcPr>
            <w:tcW w:w="4012" w:type="dxa"/>
            <w:tcBorders>
              <w:tl2br w:val="nil"/>
              <w:tr2bl w:val="nil"/>
            </w:tcBorders>
          </w:tcPr>
          <w:p w14:paraId="03061C9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eastAsia="zh-CN"/>
              </w:rPr>
              <w:t>州民政局党组书记、副局长</w:t>
            </w:r>
          </w:p>
        </w:tc>
      </w:tr>
      <w:tr w14:paraId="2FFEC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dxa"/>
            <w:tcBorders>
              <w:tl2br w:val="nil"/>
              <w:tr2bl w:val="nil"/>
            </w:tcBorders>
          </w:tcPr>
          <w:p w14:paraId="7412B5E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p>
        </w:tc>
        <w:tc>
          <w:tcPr>
            <w:tcW w:w="3299" w:type="dxa"/>
            <w:tcBorders>
              <w:tl2br w:val="nil"/>
              <w:tr2bl w:val="nil"/>
            </w:tcBorders>
          </w:tcPr>
          <w:p w14:paraId="4FD72CA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val="en-US" w:eastAsia="zh-CN"/>
              </w:rPr>
              <w:t>托连·哈那提白克</w:t>
            </w:r>
          </w:p>
        </w:tc>
        <w:tc>
          <w:tcPr>
            <w:tcW w:w="4012" w:type="dxa"/>
            <w:tcBorders>
              <w:tl2br w:val="nil"/>
              <w:tr2bl w:val="nil"/>
            </w:tcBorders>
          </w:tcPr>
          <w:p w14:paraId="25421F3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b w:val="0"/>
                <w:bCs w:val="0"/>
                <w:color w:val="000000"/>
                <w:sz w:val="32"/>
                <w:szCs w:val="32"/>
                <w:highlight w:val="none"/>
                <w:lang w:eastAsia="zh-CN"/>
              </w:rPr>
              <w:t>州</w:t>
            </w:r>
            <w:r>
              <w:rPr>
                <w:rFonts w:hint="eastAsia" w:ascii="仿宋_GB2312" w:eastAsia="仿宋_GB2312"/>
                <w:color w:val="000000"/>
                <w:sz w:val="32"/>
                <w:szCs w:val="32"/>
              </w:rPr>
              <w:t>市场监督管理局</w:t>
            </w:r>
            <w:r>
              <w:rPr>
                <w:rFonts w:hint="eastAsia" w:ascii="仿宋_GB2312" w:hAnsi="仿宋_GB2312" w:eastAsia="仿宋_GB2312" w:cs="仿宋_GB2312"/>
                <w:b w:val="0"/>
                <w:bCs w:val="0"/>
                <w:color w:val="000000"/>
                <w:sz w:val="32"/>
                <w:szCs w:val="32"/>
                <w:highlight w:val="none"/>
                <w:lang w:eastAsia="zh-CN"/>
              </w:rPr>
              <w:t>局长</w:t>
            </w:r>
          </w:p>
        </w:tc>
      </w:tr>
      <w:tr w14:paraId="3ECB1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dxa"/>
            <w:tcBorders>
              <w:tl2br w:val="nil"/>
              <w:tr2bl w:val="nil"/>
            </w:tcBorders>
          </w:tcPr>
          <w:p w14:paraId="75C5A94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p>
        </w:tc>
        <w:tc>
          <w:tcPr>
            <w:tcW w:w="3299" w:type="dxa"/>
            <w:tcBorders>
              <w:tl2br w:val="nil"/>
              <w:tr2bl w:val="nil"/>
            </w:tcBorders>
          </w:tcPr>
          <w:p w14:paraId="71E2312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李云仁</w:t>
            </w:r>
          </w:p>
        </w:tc>
        <w:tc>
          <w:tcPr>
            <w:tcW w:w="4012" w:type="dxa"/>
            <w:tcBorders>
              <w:tl2br w:val="nil"/>
              <w:tr2bl w:val="nil"/>
            </w:tcBorders>
          </w:tcPr>
          <w:p w14:paraId="6BF053E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pacing w:val="-23"/>
                <w:sz w:val="32"/>
                <w:szCs w:val="32"/>
                <w:vertAlign w:val="baseline"/>
                <w:lang w:eastAsia="zh-CN"/>
              </w:rPr>
              <w:t>州住建局（人防办）</w:t>
            </w:r>
            <w:r>
              <w:rPr>
                <w:rFonts w:hint="eastAsia" w:ascii="仿宋_GB2312" w:hAnsi="仿宋_GB2312" w:eastAsia="仿宋_GB2312" w:cs="仿宋_GB2312"/>
                <w:spacing w:val="-23"/>
                <w:sz w:val="32"/>
                <w:szCs w:val="32"/>
                <w:vertAlign w:val="baseline"/>
                <w:lang w:val="en-US" w:eastAsia="zh-CN"/>
              </w:rPr>
              <w:t>四</w:t>
            </w:r>
            <w:r>
              <w:rPr>
                <w:rFonts w:hint="eastAsia" w:ascii="仿宋_GB2312" w:hAnsi="仿宋_GB2312" w:eastAsia="仿宋_GB2312" w:cs="仿宋_GB2312"/>
                <w:spacing w:val="-23"/>
                <w:sz w:val="32"/>
                <w:szCs w:val="32"/>
                <w:vertAlign w:val="baseline"/>
                <w:lang w:eastAsia="zh-CN"/>
              </w:rPr>
              <w:t>级调研员</w:t>
            </w:r>
          </w:p>
        </w:tc>
      </w:tr>
      <w:tr w14:paraId="5D5BD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dxa"/>
            <w:tcBorders>
              <w:tl2br w:val="nil"/>
              <w:tr2bl w:val="nil"/>
            </w:tcBorders>
          </w:tcPr>
          <w:p w14:paraId="0C2B4CB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p>
        </w:tc>
        <w:tc>
          <w:tcPr>
            <w:tcW w:w="3299" w:type="dxa"/>
            <w:tcBorders>
              <w:tl2br w:val="nil"/>
              <w:tr2bl w:val="nil"/>
            </w:tcBorders>
          </w:tcPr>
          <w:p w14:paraId="1C452A8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eastAsia="zh-CN"/>
              </w:rPr>
              <w:t>热木提拉</w:t>
            </w:r>
            <w:r>
              <w:rPr>
                <w:rFonts w:hint="eastAsia" w:ascii="仿宋_GB2312" w:hAnsi="仿宋_GB2312" w:eastAsia="仿宋_GB2312" w:cs="仿宋_GB2312"/>
                <w:sz w:val="32"/>
                <w:szCs w:val="32"/>
                <w:vertAlign w:val="baseline"/>
                <w:lang w:val="en-US" w:eastAsia="zh-CN"/>
              </w:rPr>
              <w:t>·托合提</w:t>
            </w:r>
          </w:p>
        </w:tc>
        <w:tc>
          <w:tcPr>
            <w:tcW w:w="4012" w:type="dxa"/>
            <w:tcBorders>
              <w:tl2br w:val="nil"/>
              <w:tr2bl w:val="nil"/>
            </w:tcBorders>
          </w:tcPr>
          <w:p w14:paraId="5A3363E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阿图什市委副书记、市长</w:t>
            </w:r>
          </w:p>
        </w:tc>
      </w:tr>
      <w:tr w14:paraId="17972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dxa"/>
            <w:tcBorders>
              <w:tl2br w:val="nil"/>
              <w:tr2bl w:val="nil"/>
            </w:tcBorders>
          </w:tcPr>
          <w:p w14:paraId="1E83607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p>
        </w:tc>
        <w:tc>
          <w:tcPr>
            <w:tcW w:w="3299" w:type="dxa"/>
            <w:tcBorders>
              <w:tl2br w:val="nil"/>
              <w:tr2bl w:val="nil"/>
            </w:tcBorders>
          </w:tcPr>
          <w:p w14:paraId="4779BDF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b w:val="0"/>
                <w:bCs w:val="0"/>
                <w:color w:val="000000"/>
                <w:w w:val="90"/>
                <w:sz w:val="32"/>
                <w:szCs w:val="32"/>
                <w:lang w:val="en-US" w:eastAsia="zh-CN"/>
              </w:rPr>
              <w:t>哈力别提·买买提托尔干</w:t>
            </w:r>
          </w:p>
        </w:tc>
        <w:tc>
          <w:tcPr>
            <w:tcW w:w="4012" w:type="dxa"/>
            <w:tcBorders>
              <w:tl2br w:val="nil"/>
              <w:tr2bl w:val="nil"/>
            </w:tcBorders>
          </w:tcPr>
          <w:p w14:paraId="58B6448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阿克陶县委副书记、县长</w:t>
            </w:r>
          </w:p>
        </w:tc>
      </w:tr>
      <w:tr w14:paraId="1BC13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dxa"/>
            <w:tcBorders>
              <w:tl2br w:val="nil"/>
              <w:tr2bl w:val="nil"/>
            </w:tcBorders>
          </w:tcPr>
          <w:p w14:paraId="19247DE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p>
        </w:tc>
        <w:tc>
          <w:tcPr>
            <w:tcW w:w="3299" w:type="dxa"/>
            <w:tcBorders>
              <w:tl2br w:val="nil"/>
              <w:tr2bl w:val="nil"/>
            </w:tcBorders>
          </w:tcPr>
          <w:p w14:paraId="5CD0426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eastAsia="zh-CN"/>
              </w:rPr>
              <w:t>努尔夏提</w:t>
            </w:r>
            <w:r>
              <w:rPr>
                <w:rFonts w:hint="eastAsia" w:ascii="仿宋_GB2312" w:hAnsi="仿宋_GB2312" w:eastAsia="仿宋_GB2312" w:cs="仿宋_GB2312"/>
                <w:sz w:val="32"/>
                <w:szCs w:val="32"/>
                <w:vertAlign w:val="baseline"/>
                <w:lang w:val="en-US" w:eastAsia="zh-CN"/>
              </w:rPr>
              <w:t>·铁来西</w:t>
            </w:r>
          </w:p>
        </w:tc>
        <w:tc>
          <w:tcPr>
            <w:tcW w:w="4012" w:type="dxa"/>
            <w:tcBorders>
              <w:tl2br w:val="nil"/>
              <w:tr2bl w:val="nil"/>
            </w:tcBorders>
          </w:tcPr>
          <w:p w14:paraId="403967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阿合奇县委副书记、县长</w:t>
            </w:r>
          </w:p>
        </w:tc>
      </w:tr>
    </w:tbl>
    <w:p w14:paraId="73EB49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两违清查整治</w:t>
      </w:r>
      <w:r>
        <w:rPr>
          <w:rFonts w:hint="eastAsia" w:ascii="仿宋_GB2312" w:hAnsi="仿宋_GB2312" w:eastAsia="仿宋_GB2312" w:cs="仿宋_GB2312"/>
          <w:sz w:val="32"/>
          <w:szCs w:val="32"/>
          <w:lang w:eastAsia="zh-CN"/>
        </w:rPr>
        <w:t>工作领导小组</w:t>
      </w:r>
      <w:r>
        <w:rPr>
          <w:rFonts w:hint="eastAsia" w:ascii="仿宋_GB2312" w:hAnsi="仿宋_GB2312" w:eastAsia="仿宋_GB2312" w:cs="仿宋_GB2312"/>
          <w:sz w:val="32"/>
          <w:szCs w:val="32"/>
        </w:rPr>
        <w:t>下设办公室，办公室设在自治</w:t>
      </w:r>
      <w:r>
        <w:rPr>
          <w:rFonts w:hint="eastAsia" w:ascii="仿宋_GB2312" w:hAnsi="仿宋_GB2312" w:eastAsia="仿宋_GB2312" w:cs="仿宋_GB2312"/>
          <w:sz w:val="32"/>
          <w:szCs w:val="32"/>
          <w:lang w:eastAsia="zh-CN"/>
        </w:rPr>
        <w:t>州</w:t>
      </w:r>
      <w:r>
        <w:rPr>
          <w:rFonts w:hint="eastAsia" w:ascii="仿宋_GB2312" w:hAnsi="仿宋_GB2312" w:eastAsia="仿宋_GB2312" w:cs="仿宋_GB2312"/>
          <w:sz w:val="32"/>
          <w:szCs w:val="32"/>
        </w:rPr>
        <w:t>住房和城乡建设</w:t>
      </w:r>
      <w:r>
        <w:rPr>
          <w:rFonts w:hint="eastAsia" w:ascii="仿宋_GB2312" w:hAnsi="仿宋_GB2312" w:eastAsia="仿宋_GB2312" w:cs="仿宋_GB2312"/>
          <w:sz w:val="32"/>
          <w:szCs w:val="32"/>
          <w:lang w:eastAsia="zh-CN"/>
        </w:rPr>
        <w:t>局（人防办）</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办公室主任由王海江同志兼任，副主任由李云仁同志担任，具体负责自治州</w:t>
      </w:r>
      <w:r>
        <w:rPr>
          <w:rFonts w:hint="eastAsia" w:ascii="仿宋_GB2312" w:hAnsi="仿宋_GB2312" w:eastAsia="仿宋_GB2312" w:cs="仿宋_GB2312"/>
          <w:sz w:val="32"/>
          <w:szCs w:val="32"/>
        </w:rPr>
        <w:t>两违清查整治</w:t>
      </w:r>
      <w:r>
        <w:rPr>
          <w:rFonts w:hint="eastAsia" w:ascii="仿宋_GB2312" w:hAnsi="仿宋_GB2312" w:eastAsia="仿宋_GB2312" w:cs="仿宋_GB2312"/>
          <w:sz w:val="32"/>
          <w:szCs w:val="32"/>
          <w:lang w:eastAsia="zh-CN"/>
        </w:rPr>
        <w:t>工作日常事务。</w:t>
      </w:r>
    </w:p>
    <w:p w14:paraId="6E8D2115">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任务分工</w:t>
      </w:r>
    </w:p>
    <w:p w14:paraId="105651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自治州</w:t>
      </w:r>
      <w:r>
        <w:rPr>
          <w:rFonts w:hint="eastAsia" w:ascii="仿宋_GB2312" w:hAnsi="仿宋_GB2312" w:eastAsia="仿宋_GB2312" w:cs="仿宋_GB2312"/>
          <w:sz w:val="32"/>
          <w:szCs w:val="32"/>
        </w:rPr>
        <w:t>人民政府是两违清查整治工作第一责任主体，全面负责本行政区域内清查整治工作。各县(市)</w:t>
      </w:r>
      <w:r>
        <w:rPr>
          <w:rFonts w:hint="eastAsia" w:ascii="仿宋_GB2312" w:hAnsi="仿宋_GB2312" w:eastAsia="仿宋_GB2312" w:cs="仿宋_GB2312"/>
          <w:sz w:val="32"/>
          <w:szCs w:val="32"/>
          <w:lang w:eastAsia="zh-CN"/>
        </w:rPr>
        <w:t>人民</w:t>
      </w:r>
      <w:r>
        <w:rPr>
          <w:rFonts w:hint="eastAsia" w:ascii="仿宋_GB2312" w:hAnsi="仿宋_GB2312" w:eastAsia="仿宋_GB2312" w:cs="仿宋_GB2312"/>
          <w:sz w:val="32"/>
          <w:szCs w:val="32"/>
        </w:rPr>
        <w:t>政府是直接责任主体，具体负责专</w:t>
      </w:r>
      <w:r>
        <w:rPr>
          <w:rFonts w:hint="eastAsia" w:ascii="仿宋_GB2312" w:hAnsi="仿宋_GB2312" w:eastAsia="仿宋_GB2312" w:cs="仿宋_GB2312"/>
          <w:sz w:val="32"/>
          <w:szCs w:val="32"/>
          <w:lang w:val="en-US" w:eastAsia="zh-CN"/>
        </w:rPr>
        <w:t>项整治工作的组织实施。</w:t>
      </w:r>
    </w:p>
    <w:p w14:paraId="378AA5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各县（市）要建立政府主要领导任组长的领导机构，加强调度指挥，明确目标任务，压实工作责任，定期分析研判，强化督导检查，及时通报情况，确保清查整治工作落到实处。</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各级行业主管部门要根据职责，在各级领导机构统筹安排下，负责做好既有和在建建筑立项、用地、规划、建设、特种行业等建设及运营相关的行政许可手续办理情况的清查整治工作，要按照“谁主管谁负责、谁审批谁负责、谁实施谁负责”的原则，切实担负起行业监管责任，积极配合、分头推进，组织落实好本行业领域的清查整治工作，依法依规查处各类违法违规行为。对存在违法建设和违法违规审批行为的，属于本部门职责范围的，要制定整改措施，确保整改到位；无法直接认定的，要及时移交同级领导小组或报上级行业主管部门认定。</w:t>
      </w:r>
    </w:p>
    <w:p w14:paraId="2FDAFDF7">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住房和城乡建设</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:要发挥好牵头作用，与发展改革、自然资源、应急管理、民政、市场监管等有关行业主管部门做好工作衔接，建立沟通协调、信息畅通、成果共享的工作机制，及时研究会商解决工作中的困难和问题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负责房屋建筑未进行施工许可、无资质或超越资质范围设计施工、无竣工验收、存在质量安全隐患</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清查整治工作。</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发展和改革</w:t>
      </w:r>
      <w:r>
        <w:rPr>
          <w:rFonts w:hint="eastAsia" w:ascii="仿宋_GB2312" w:hAnsi="仿宋_GB2312" w:eastAsia="仿宋_GB2312" w:cs="仿宋_GB2312"/>
          <w:sz w:val="32"/>
          <w:szCs w:val="32"/>
          <w:lang w:eastAsia="zh-CN"/>
        </w:rPr>
        <w:t>委员会</w:t>
      </w:r>
      <w:r>
        <w:rPr>
          <w:rFonts w:hint="eastAsia" w:ascii="仿宋_GB2312" w:hAnsi="仿宋_GB2312" w:eastAsia="仿宋_GB2312" w:cs="仿宋_GB2312"/>
          <w:sz w:val="32"/>
          <w:szCs w:val="32"/>
        </w:rPr>
        <w:t>:负责房屋建筑未依法立项、核准、备案的清查整治工作。</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自然资源</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:负责房屋建筑违法占地、违反规划许可</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rPr>
        <w:t>擅自改变房屋建筑使用功能结构和违法改扩建的清查整治工作。</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应急管理</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:负责房屋建筑存在违法建设和违法违规审批情形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同时违规取得消防许可，用作生产经营或公共事业的房屋建筑，特别是人员密集场所房屋建筑的清查整治工作。</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民政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:负责统筹协调街道、社区有关工作人员开展房屋信息采集工作，按照</w:t>
      </w:r>
      <w:r>
        <w:rPr>
          <w:rFonts w:hint="eastAsia" w:ascii="仿宋_GB2312" w:hAnsi="仿宋_GB2312" w:eastAsia="仿宋_GB2312" w:cs="仿宋_GB2312"/>
          <w:sz w:val="32"/>
          <w:szCs w:val="32"/>
          <w:lang w:eastAsia="zh-CN"/>
        </w:rPr>
        <w:t>领导小组</w:t>
      </w:r>
      <w:r>
        <w:rPr>
          <w:rFonts w:hint="eastAsia" w:ascii="仿宋_GB2312" w:hAnsi="仿宋_GB2312" w:eastAsia="仿宋_GB2312" w:cs="仿宋_GB2312"/>
          <w:sz w:val="32"/>
          <w:szCs w:val="32"/>
        </w:rPr>
        <w:t>会议安排做好其他有关工作。</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eastAsia="仿宋_GB2312"/>
          <w:color w:val="000000"/>
          <w:sz w:val="32"/>
          <w:szCs w:val="32"/>
        </w:rPr>
        <w:t>市场监督管理局</w:t>
      </w:r>
      <w:r>
        <w:rPr>
          <w:rFonts w:hint="eastAsia" w:ascii="仿宋_GB2312" w:hAnsi="仿宋_GB2312" w:eastAsia="仿宋_GB2312" w:cs="仿宋_GB2312"/>
          <w:sz w:val="32"/>
          <w:szCs w:val="32"/>
        </w:rPr>
        <w:t>:负责房屋建筑存在违法建设和违法违规审批情形同时违规取得工商登记以及其他生产经营许可的清查整治工作。</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房屋建筑产权所有者(使用人):严格落实房屋建筑产权所有者(使用人)主体责任，对发生的涉及城镇房屋建筑违法建设和违法违规审批行为要依法依规追究产权所有者(使用人)相应责任、产权所有者(使用人)承担相应整改责任。产权人与使用人不一致的，产权人与使用人按照约定承担房屋使用有关责任。</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黑体" w:hAnsi="黑体" w:eastAsia="黑体" w:cs="黑体"/>
          <w:b w:val="0"/>
          <w:bCs w:val="0"/>
          <w:sz w:val="32"/>
          <w:szCs w:val="32"/>
          <w:lang w:val="en-US" w:eastAsia="zh-CN"/>
        </w:rPr>
        <w:t xml:space="preserve">  五</w:t>
      </w:r>
      <w:r>
        <w:rPr>
          <w:rFonts w:hint="eastAsia" w:ascii="黑体" w:hAnsi="黑体" w:eastAsia="黑体" w:cs="黑体"/>
          <w:b w:val="0"/>
          <w:bCs w:val="0"/>
          <w:sz w:val="32"/>
          <w:szCs w:val="32"/>
        </w:rPr>
        <w:t>、阶段安排</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楷体_GB2312" w:hAnsi="楷体_GB2312" w:eastAsia="楷体_GB2312" w:cs="楷体_GB2312"/>
          <w:b/>
          <w:bCs/>
          <w:sz w:val="32"/>
          <w:szCs w:val="32"/>
          <w:lang w:val="en-US" w:eastAsia="zh-CN"/>
        </w:rPr>
        <w:t xml:space="preserve">   (一)</w:t>
      </w:r>
      <w:r>
        <w:rPr>
          <w:rFonts w:hint="eastAsia" w:ascii="楷体_GB2312" w:hAnsi="楷体_GB2312" w:eastAsia="楷体_GB2312" w:cs="楷体_GB2312"/>
          <w:b/>
          <w:bCs/>
          <w:sz w:val="32"/>
          <w:szCs w:val="32"/>
        </w:rPr>
        <w:t>安排部署阶段</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20</w:t>
      </w:r>
      <w:r>
        <w:rPr>
          <w:rFonts w:hint="eastAsia" w:ascii="楷体_GB2312" w:hAnsi="楷体_GB2312" w:eastAsia="楷体_GB2312" w:cs="楷体_GB2312"/>
          <w:b/>
          <w:bCs/>
          <w:sz w:val="32"/>
          <w:szCs w:val="32"/>
        </w:rPr>
        <w:t>21年</w:t>
      </w:r>
      <w:r>
        <w:rPr>
          <w:rFonts w:hint="eastAsia" w:ascii="楷体_GB2312" w:hAnsi="楷体_GB2312" w:eastAsia="楷体_GB2312" w:cs="楷体_GB2312"/>
          <w:b/>
          <w:bCs/>
          <w:sz w:val="32"/>
          <w:szCs w:val="32"/>
          <w:lang w:val="en-US" w:eastAsia="zh-CN"/>
        </w:rPr>
        <w:t>3</w:t>
      </w:r>
      <w:r>
        <w:rPr>
          <w:rFonts w:hint="eastAsia" w:ascii="楷体_GB2312" w:hAnsi="楷体_GB2312" w:eastAsia="楷体_GB2312" w:cs="楷体_GB2312"/>
          <w:b/>
          <w:bCs/>
          <w:sz w:val="32"/>
          <w:szCs w:val="32"/>
        </w:rPr>
        <w:t>月</w:t>
      </w:r>
      <w:r>
        <w:rPr>
          <w:rFonts w:hint="eastAsia" w:ascii="楷体_GB2312" w:hAnsi="楷体_GB2312" w:eastAsia="楷体_GB2312" w:cs="楷体_GB2312"/>
          <w:b/>
          <w:bCs/>
          <w:sz w:val="32"/>
          <w:szCs w:val="32"/>
          <w:lang w:val="en-US" w:eastAsia="zh-CN"/>
        </w:rPr>
        <w:t>5</w:t>
      </w:r>
      <w:r>
        <w:rPr>
          <w:rFonts w:hint="eastAsia" w:ascii="楷体_GB2312" w:hAnsi="楷体_GB2312" w:eastAsia="楷体_GB2312" w:cs="楷体_GB2312"/>
          <w:b/>
          <w:bCs/>
          <w:sz w:val="32"/>
          <w:szCs w:val="32"/>
        </w:rPr>
        <w:t>日前)</w:t>
      </w:r>
      <w:r>
        <w:rPr>
          <w:rFonts w:hint="eastAsia" w:ascii="楷体_GB2312" w:hAnsi="楷体_GB2312" w:eastAsia="楷体_GB2312" w:cs="楷体_GB2312"/>
          <w:b/>
          <w:bCs/>
          <w:sz w:val="32"/>
          <w:szCs w:val="32"/>
          <w:lang w:eastAsia="zh-CN"/>
        </w:rPr>
        <w:t>。</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县（市）</w:t>
      </w:r>
      <w:r>
        <w:rPr>
          <w:rFonts w:hint="eastAsia" w:ascii="仿宋_GB2312" w:hAnsi="仿宋_GB2312" w:eastAsia="仿宋_GB2312" w:cs="仿宋_GB2312"/>
          <w:sz w:val="32"/>
          <w:szCs w:val="32"/>
        </w:rPr>
        <w:t>要</w:t>
      </w:r>
      <w:r>
        <w:rPr>
          <w:rFonts w:hint="eastAsia" w:ascii="仿宋_GB2312" w:hAnsi="仿宋_GB2312" w:eastAsia="仿宋_GB2312" w:cs="仿宋_GB2312"/>
          <w:sz w:val="32"/>
          <w:szCs w:val="32"/>
          <w:lang w:eastAsia="zh-CN"/>
        </w:rPr>
        <w:t>于</w:t>
      </w:r>
      <w:r>
        <w:rPr>
          <w:rFonts w:hint="eastAsia" w:ascii="仿宋_GB2312" w:hAnsi="仿宋_GB2312" w:eastAsia="仿宋_GB2312" w:cs="仿宋_GB2312"/>
          <w:sz w:val="32"/>
          <w:szCs w:val="32"/>
        </w:rPr>
        <w:t>2021年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日前结</w:t>
      </w:r>
      <w:r>
        <w:rPr>
          <w:rFonts w:hint="eastAsia" w:ascii="仿宋_GB2312" w:hAnsi="仿宋_GB2312" w:eastAsia="仿宋_GB2312" w:cs="仿宋_GB2312"/>
          <w:sz w:val="32"/>
          <w:szCs w:val="32"/>
        </w:rPr>
        <w:t>合本地实际，组织有关部门认真研究制定具体</w:t>
      </w:r>
      <w:r>
        <w:rPr>
          <w:rFonts w:hint="eastAsia" w:ascii="仿宋_GB2312" w:hAnsi="仿宋_GB2312" w:eastAsia="仿宋_GB2312" w:cs="仿宋_GB2312"/>
          <w:sz w:val="32"/>
          <w:szCs w:val="32"/>
          <w:lang w:eastAsia="zh-CN"/>
        </w:rPr>
        <w:t>实施方</w:t>
      </w:r>
      <w:r>
        <w:rPr>
          <w:rFonts w:hint="eastAsia" w:ascii="仿宋_GB2312" w:hAnsi="仿宋_GB2312" w:eastAsia="仿宋_GB2312" w:cs="仿宋_GB2312"/>
          <w:sz w:val="32"/>
          <w:szCs w:val="32"/>
        </w:rPr>
        <w:t>案，出台可操作、可执行的政策措施</w:t>
      </w:r>
      <w:r>
        <w:rPr>
          <w:rFonts w:hint="eastAsia" w:ascii="仿宋_GB2312" w:hAnsi="仿宋_GB2312" w:eastAsia="仿宋_GB2312" w:cs="仿宋_GB2312"/>
          <w:sz w:val="32"/>
          <w:szCs w:val="32"/>
          <w:lang w:eastAsia="zh-CN"/>
        </w:rPr>
        <w:t>，科学制定时间表、路线图、任务书，定期召开会议，</w:t>
      </w:r>
      <w:r>
        <w:rPr>
          <w:rFonts w:hint="eastAsia" w:ascii="仿宋_GB2312" w:hAnsi="仿宋_GB2312" w:eastAsia="仿宋_GB2312" w:cs="仿宋_GB2312"/>
          <w:sz w:val="32"/>
          <w:szCs w:val="32"/>
        </w:rPr>
        <w:t>全面动员</w:t>
      </w:r>
      <w:r>
        <w:rPr>
          <w:rFonts w:hint="eastAsia" w:ascii="仿宋_GB2312" w:hAnsi="仿宋_GB2312" w:eastAsia="仿宋_GB2312" w:cs="仿宋_GB2312"/>
          <w:sz w:val="32"/>
          <w:szCs w:val="32"/>
          <w:lang w:eastAsia="zh-CN"/>
        </w:rPr>
        <w:t>部署，形成部门合力</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根据自治区培训要求，</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县（市）领导小组办公室要及时组织清查整治领导小组成员单位以及街道(城镇)、社区相关负责同志参加专题培训，指导各有关部门熟练掌控由自治区联席会议办公室开发的城镇房屋信息应用程序(移动AP和PC管理端)，推动更好完成两违清查整治工作。</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县（市）</w:t>
      </w:r>
      <w:r>
        <w:rPr>
          <w:rFonts w:hint="eastAsia" w:ascii="仿宋_GB2312" w:hAnsi="仿宋_GB2312" w:eastAsia="仿宋_GB2312" w:cs="仿宋_GB2312"/>
          <w:sz w:val="32"/>
          <w:szCs w:val="32"/>
        </w:rPr>
        <w:t>要于2021年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日前，将本地清查整治工作方案、动员部署情况、领导小组分工以及工作联络人信息等，一并报自治州领导小组办公室。</w:t>
      </w:r>
    </w:p>
    <w:p w14:paraId="64DAE9E8">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(二)清查阶段(2021年3月6日-6月25日)。</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县（市）要坚持属地管理原则，对城市(镇)建成区内所有既有建筑和在建建筑进行全面摸底，以楼栋(单位工程)为单位在移动APP中填报房屋基础信息，形成一房(建筑物)一码</w:t>
      </w:r>
      <w:r>
        <w:rPr>
          <w:rFonts w:hint="eastAsia" w:ascii="仿宋_GB2312" w:hAnsi="仿宋_GB2312" w:eastAsia="仿宋_GB2312" w:cs="仿宋_GB2312"/>
          <w:sz w:val="32"/>
          <w:szCs w:val="32"/>
        </w:rPr>
        <w:t>(二维码)。</w:t>
      </w:r>
      <w:r>
        <w:rPr>
          <w:rFonts w:hint="eastAsia" w:ascii="仿宋_GB2312" w:hAnsi="仿宋_GB2312" w:eastAsia="仿宋_GB2312" w:cs="仿宋_GB2312"/>
          <w:sz w:val="32"/>
          <w:szCs w:val="32"/>
          <w:lang w:eastAsia="zh-CN"/>
        </w:rPr>
        <w:t>县（市）</w:t>
      </w:r>
      <w:r>
        <w:rPr>
          <w:rFonts w:hint="eastAsia" w:ascii="仿宋_GB2312" w:hAnsi="仿宋_GB2312" w:eastAsia="仿宋_GB2312" w:cs="仿宋_GB2312"/>
          <w:sz w:val="32"/>
          <w:szCs w:val="32"/>
        </w:rPr>
        <w:t>有关行业主管部门和清查整治工作领导小组依据职权通过PC管理端对违法建设和违法违规审批行为进行认定。</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rPr>
        <w:t>在房屋建筑基本情况方面</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对既有房屋建筑，要查清房屋建筑的地址、所有权(使用权)、用途、建筑面积、层数、建设年代、结构类型、改建扩建情况、安全隐患情况等;对在建房屋建筑，要查清开工时间、进度、建设单位，设计单位、施工单位、结构类型等。</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在房屋建筑审批情况方面</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对既有房屋建筑，要查清房屋建筑立项、用地、规划、施工许可、竣工验收、改建扩建报批、用途变更。消防、工商登记、特种行业等全流程行政许可信息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对在建房屋建筑，要查清房屋建筑立项、用地、规划、施工许可等规划建设阶段行政许可信息。</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在全面清查阶段，各</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(市)每月2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日前将填报的《自治区城镇房屋建筑违法建设和违法违规审批专项清查整治工作统计表》汇总后报自治</w:t>
      </w:r>
      <w:r>
        <w:rPr>
          <w:rFonts w:hint="eastAsia" w:ascii="仿宋_GB2312" w:hAnsi="仿宋_GB2312" w:eastAsia="仿宋_GB2312" w:cs="仿宋_GB2312"/>
          <w:sz w:val="32"/>
          <w:szCs w:val="32"/>
          <w:lang w:eastAsia="zh-CN"/>
        </w:rPr>
        <w:t>州领导小组</w:t>
      </w:r>
      <w:r>
        <w:rPr>
          <w:rFonts w:hint="eastAsia" w:ascii="仿宋_GB2312" w:hAnsi="仿宋_GB2312" w:eastAsia="仿宋_GB2312" w:cs="仿宋_GB2312"/>
          <w:sz w:val="32"/>
          <w:szCs w:val="32"/>
        </w:rPr>
        <w:t>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2021年6月</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日前，将清查工作完成情况报自治</w:t>
      </w:r>
      <w:r>
        <w:rPr>
          <w:rFonts w:hint="eastAsia" w:ascii="仿宋_GB2312" w:hAnsi="仿宋_GB2312" w:eastAsia="仿宋_GB2312" w:cs="仿宋_GB2312"/>
          <w:sz w:val="32"/>
          <w:szCs w:val="32"/>
          <w:lang w:eastAsia="zh-CN"/>
        </w:rPr>
        <w:t>州领导小组</w:t>
      </w:r>
      <w:r>
        <w:rPr>
          <w:rFonts w:hint="eastAsia" w:ascii="仿宋_GB2312" w:hAnsi="仿宋_GB2312" w:eastAsia="仿宋_GB2312" w:cs="仿宋_GB2312"/>
          <w:sz w:val="32"/>
          <w:szCs w:val="32"/>
        </w:rPr>
        <w:t>办公室。</w:t>
      </w:r>
      <w:r>
        <w:rPr>
          <w:rFonts w:hint="eastAsia" w:ascii="仿宋_GB2312" w:hAnsi="仿宋_GB2312" w:eastAsia="仿宋_GB2312" w:cs="仿宋_GB2312"/>
          <w:sz w:val="32"/>
          <w:szCs w:val="32"/>
        </w:rPr>
        <w:br w:type="textWrapping"/>
      </w:r>
      <w:r>
        <w:rPr>
          <w:rFonts w:hint="eastAsia" w:ascii="楷体_GB2312" w:hAnsi="楷体_GB2312" w:eastAsia="楷体_GB2312" w:cs="楷体_GB2312"/>
          <w:b/>
          <w:bCs/>
          <w:sz w:val="32"/>
          <w:szCs w:val="32"/>
          <w:lang w:val="en-US" w:eastAsia="zh-CN"/>
        </w:rPr>
        <w:t xml:space="preserve">    (三)整治阶段(2021年6月26日-2022年6月25日)。</w:t>
      </w:r>
      <w:r>
        <w:rPr>
          <w:rFonts w:hint="eastAsia" w:ascii="仿宋_GB2312" w:hAnsi="仿宋_GB2312" w:eastAsia="仿宋_GB2312" w:cs="仿宋_GB2312"/>
          <w:sz w:val="32"/>
          <w:szCs w:val="32"/>
          <w:lang w:eastAsia="zh-CN"/>
        </w:rPr>
        <w:t>各县（市）</w:t>
      </w:r>
      <w:r>
        <w:rPr>
          <w:rFonts w:hint="eastAsia" w:ascii="仿宋_GB2312" w:hAnsi="仿宋_GB2312" w:eastAsia="仿宋_GB2312" w:cs="仿宋_GB2312"/>
          <w:sz w:val="32"/>
          <w:szCs w:val="32"/>
        </w:rPr>
        <w:t>要严格比照9项违法建设行为和5项违法违规审批行为、逐项建立隐患问题台账，依法依规实施整改，督促产权所有者(使用人)履行整改责任。有关行业部门要严格按照法定责权，压实隐患问题整改责任，逐项制定整改方案，逐项跟踪整改情况，逐项实施问题销号。</w:t>
      </w:r>
      <w:r>
        <w:rPr>
          <w:rFonts w:hint="eastAsia" w:ascii="仿宋_GB2312" w:hAnsi="仿宋_GB2312" w:eastAsia="仿宋_GB2312" w:cs="仿宋_GB2312"/>
          <w:sz w:val="32"/>
          <w:szCs w:val="32"/>
          <w:lang w:eastAsia="zh-CN"/>
        </w:rPr>
        <w:t>州级有关行业部门、各县（市）</w:t>
      </w:r>
      <w:r>
        <w:rPr>
          <w:rFonts w:hint="eastAsia" w:ascii="仿宋_GB2312" w:hAnsi="仿宋_GB2312" w:eastAsia="仿宋_GB2312" w:cs="仿宋_GB2312"/>
          <w:sz w:val="32"/>
          <w:szCs w:val="32"/>
        </w:rPr>
        <w:t>要深入分析清查整治中发现的共性问题和突出隐患，梳理出需要建立健全、补充完善的法规标准和政策措施，需要在</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自治区层面协调解决的问题和政策，及时报</w:t>
      </w:r>
      <w:r>
        <w:rPr>
          <w:rFonts w:hint="eastAsia" w:ascii="仿宋_GB2312" w:hAnsi="仿宋_GB2312" w:eastAsia="仿宋_GB2312" w:cs="仿宋_GB2312"/>
          <w:sz w:val="32"/>
          <w:szCs w:val="32"/>
          <w:lang w:eastAsia="zh-CN"/>
        </w:rPr>
        <w:t>自治州领导小组</w:t>
      </w:r>
      <w:r>
        <w:rPr>
          <w:rFonts w:hint="eastAsia" w:ascii="仿宋_GB2312" w:hAnsi="仿宋_GB2312" w:eastAsia="仿宋_GB2312" w:cs="仿宋_GB2312"/>
          <w:sz w:val="32"/>
          <w:szCs w:val="32"/>
        </w:rPr>
        <w:t>办公室。</w:t>
      </w:r>
    </w:p>
    <w:p w14:paraId="3A9B979D">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各县（市）</w:t>
      </w:r>
      <w:r>
        <w:rPr>
          <w:rFonts w:hint="eastAsia" w:ascii="仿宋_GB2312" w:hAnsi="仿宋_GB2312" w:eastAsia="仿宋_GB2312" w:cs="仿宋_GB2312"/>
          <w:sz w:val="32"/>
          <w:szCs w:val="32"/>
        </w:rPr>
        <w:t>要于2022年6月</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日前，将整治工作完成情况报自治</w:t>
      </w:r>
      <w:r>
        <w:rPr>
          <w:rFonts w:hint="eastAsia" w:ascii="仿宋_GB2312" w:hAnsi="仿宋_GB2312" w:eastAsia="仿宋_GB2312" w:cs="仿宋_GB2312"/>
          <w:sz w:val="32"/>
          <w:szCs w:val="32"/>
          <w:lang w:eastAsia="zh-CN"/>
        </w:rPr>
        <w:t>州领导小组</w:t>
      </w:r>
      <w:r>
        <w:rPr>
          <w:rFonts w:hint="eastAsia" w:ascii="仿宋_GB2312" w:hAnsi="仿宋_GB2312" w:eastAsia="仿宋_GB2312" w:cs="仿宋_GB2312"/>
          <w:sz w:val="32"/>
          <w:szCs w:val="32"/>
        </w:rPr>
        <w:t>办公室。</w:t>
      </w:r>
      <w:r>
        <w:rPr>
          <w:rFonts w:hint="eastAsia" w:ascii="仿宋_GB2312" w:hAnsi="仿宋_GB2312" w:eastAsia="仿宋_GB2312" w:cs="仿宋_GB2312"/>
          <w:sz w:val="32"/>
          <w:szCs w:val="32"/>
        </w:rPr>
        <w:br w:type="textWrapping"/>
      </w:r>
      <w:r>
        <w:rPr>
          <w:rFonts w:hint="eastAsia" w:ascii="楷体_GB2312" w:hAnsi="楷体_GB2312" w:eastAsia="楷体_GB2312" w:cs="楷体_GB2312"/>
          <w:b/>
          <w:bCs/>
          <w:sz w:val="32"/>
          <w:szCs w:val="32"/>
          <w:lang w:val="en-US" w:eastAsia="zh-CN"/>
        </w:rPr>
        <w:t xml:space="preserve">    (四)总结验收阶段(2022年6月26日-2022年12月25日)。</w:t>
      </w:r>
      <w:r>
        <w:rPr>
          <w:rFonts w:hint="eastAsia" w:ascii="仿宋_GB2312" w:hAnsi="仿宋_GB2312" w:eastAsia="仿宋_GB2312" w:cs="仿宋_GB2312"/>
          <w:sz w:val="32"/>
          <w:szCs w:val="32"/>
          <w:lang w:eastAsia="zh-CN"/>
        </w:rPr>
        <w:t>各县（市）</w:t>
      </w:r>
      <w:r>
        <w:rPr>
          <w:rFonts w:hint="eastAsia" w:ascii="仿宋_GB2312" w:hAnsi="仿宋_GB2312" w:eastAsia="仿宋_GB2312" w:cs="仿宋_GB2312"/>
          <w:sz w:val="32"/>
          <w:szCs w:val="32"/>
        </w:rPr>
        <w:t>要认真总结两违清查整治工作，对本辖区两违清查整治工作开展情况进行自查验收，并将自查验收情况报自治</w:t>
      </w:r>
      <w:r>
        <w:rPr>
          <w:rFonts w:hint="eastAsia" w:ascii="仿宋_GB2312" w:hAnsi="仿宋_GB2312" w:eastAsia="仿宋_GB2312" w:cs="仿宋_GB2312"/>
          <w:sz w:val="32"/>
          <w:szCs w:val="32"/>
          <w:lang w:eastAsia="zh-CN"/>
        </w:rPr>
        <w:t>州领导小组</w:t>
      </w:r>
      <w:r>
        <w:rPr>
          <w:rFonts w:hint="eastAsia" w:ascii="仿宋_GB2312" w:hAnsi="仿宋_GB2312" w:eastAsia="仿宋_GB2312" w:cs="仿宋_GB2312"/>
          <w:sz w:val="32"/>
          <w:szCs w:val="32"/>
        </w:rPr>
        <w:t>办公室;</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对县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两违清查整治工作开展情况</w:t>
      </w:r>
      <w:r>
        <w:rPr>
          <w:rFonts w:hint="eastAsia" w:ascii="仿宋_GB2312" w:hAnsi="仿宋_GB2312" w:eastAsia="仿宋_GB2312" w:cs="仿宋_GB2312"/>
          <w:sz w:val="32"/>
          <w:szCs w:val="32"/>
          <w:lang w:eastAsia="zh-CN"/>
        </w:rPr>
        <w:t>将</w:t>
      </w:r>
      <w:r>
        <w:rPr>
          <w:rFonts w:hint="eastAsia" w:ascii="仿宋_GB2312" w:hAnsi="仿宋_GB2312" w:eastAsia="仿宋_GB2312" w:cs="仿宋_GB2312"/>
          <w:sz w:val="32"/>
          <w:szCs w:val="32"/>
        </w:rPr>
        <w:t>进行核验，并将核验情况报自治区联席会议办公室</w:t>
      </w:r>
      <w:r>
        <w:rPr>
          <w:rFonts w:hint="eastAsia" w:ascii="仿宋_GB2312" w:hAnsi="仿宋_GB2312" w:eastAsia="仿宋_GB2312" w:cs="仿宋_GB2312"/>
          <w:sz w:val="32"/>
          <w:szCs w:val="32"/>
          <w:lang w:eastAsia="zh-CN"/>
        </w:rPr>
        <w:t>。</w:t>
      </w:r>
    </w:p>
    <w:p w14:paraId="6E85A2D7">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以上各阶段要根据实际情况同步推进，边摸底、边清查、边整治、边形成推进成果，确保</w:t>
      </w:r>
      <w:r>
        <w:rPr>
          <w:rFonts w:hint="eastAsia" w:ascii="仿宋_GB2312" w:hAnsi="仿宋_GB2312" w:eastAsia="仿宋_GB2312" w:cs="仿宋_GB2312"/>
          <w:sz w:val="32"/>
          <w:szCs w:val="32"/>
          <w:lang w:eastAsia="zh-CN"/>
        </w:rPr>
        <w:t>责</w:t>
      </w:r>
      <w:r>
        <w:rPr>
          <w:rFonts w:hint="eastAsia" w:ascii="仿宋_GB2312" w:hAnsi="仿宋_GB2312" w:eastAsia="仿宋_GB2312" w:cs="仿宋_GB2312"/>
          <w:sz w:val="32"/>
          <w:szCs w:val="32"/>
        </w:rPr>
        <w:t>任明晰、措施落地、闭环管理、整改到位、成果显著。</w:t>
      </w:r>
    </w:p>
    <w:p w14:paraId="6F6CC51E">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 xml:space="preserve">  </w:t>
      </w:r>
      <w:r>
        <w:rPr>
          <w:rFonts w:hint="eastAsia" w:ascii="黑体" w:hAnsi="黑体" w:eastAsia="黑体" w:cs="黑体"/>
          <w:b w:val="0"/>
          <w:bCs w:val="0"/>
          <w:sz w:val="32"/>
          <w:szCs w:val="32"/>
          <w:lang w:eastAsia="zh-CN"/>
        </w:rPr>
        <w:t>六</w:t>
      </w:r>
      <w:r>
        <w:rPr>
          <w:rFonts w:hint="eastAsia" w:ascii="黑体" w:hAnsi="黑体" w:eastAsia="黑体" w:cs="黑体"/>
          <w:b w:val="0"/>
          <w:bCs w:val="0"/>
          <w:sz w:val="32"/>
          <w:szCs w:val="32"/>
        </w:rPr>
        <w:t>、工作要求</w:t>
      </w:r>
    </w:p>
    <w:p w14:paraId="4587628B">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val="en-US" w:eastAsia="zh-CN"/>
        </w:rPr>
        <w:t>(一)加强组织领导。</w:t>
      </w:r>
      <w:r>
        <w:rPr>
          <w:rFonts w:hint="eastAsia" w:ascii="仿宋_GB2312" w:hAnsi="仿宋_GB2312" w:eastAsia="仿宋_GB2312" w:cs="仿宋_GB2312"/>
          <w:sz w:val="32"/>
          <w:szCs w:val="32"/>
        </w:rPr>
        <w:t>自治</w:t>
      </w:r>
      <w:r>
        <w:rPr>
          <w:rFonts w:hint="eastAsia" w:ascii="仿宋_GB2312" w:hAnsi="仿宋_GB2312" w:eastAsia="仿宋_GB2312" w:cs="仿宋_GB2312"/>
          <w:sz w:val="32"/>
          <w:szCs w:val="32"/>
          <w:lang w:eastAsia="zh-CN"/>
        </w:rPr>
        <w:t>州领导小组负责</w:t>
      </w:r>
      <w:r>
        <w:rPr>
          <w:rFonts w:hint="eastAsia" w:ascii="仿宋_GB2312" w:hAnsi="仿宋_GB2312" w:eastAsia="仿宋_GB2312" w:cs="仿宋_GB2312"/>
          <w:sz w:val="32"/>
          <w:szCs w:val="32"/>
        </w:rPr>
        <w:t>统筹</w:t>
      </w:r>
      <w:r>
        <w:rPr>
          <w:rFonts w:hint="eastAsia" w:ascii="仿宋_GB2312" w:hAnsi="仿宋_GB2312" w:eastAsia="仿宋_GB2312" w:cs="仿宋_GB2312"/>
          <w:sz w:val="32"/>
          <w:szCs w:val="32"/>
          <w:lang w:eastAsia="zh-CN"/>
        </w:rPr>
        <w:t>全州</w:t>
      </w:r>
      <w:r>
        <w:rPr>
          <w:rFonts w:hint="eastAsia" w:ascii="仿宋_GB2312" w:hAnsi="仿宋_GB2312" w:eastAsia="仿宋_GB2312" w:cs="仿宋_GB2312"/>
          <w:sz w:val="32"/>
          <w:szCs w:val="32"/>
        </w:rPr>
        <w:t>两违清查整治工作，定期召开会议研究协调解决重大事项;</w:t>
      </w:r>
      <w:r>
        <w:rPr>
          <w:rFonts w:hint="eastAsia" w:ascii="仿宋_GB2312" w:hAnsi="仿宋_GB2312" w:eastAsia="仿宋_GB2312" w:cs="仿宋_GB2312"/>
          <w:sz w:val="32"/>
          <w:szCs w:val="32"/>
          <w:lang w:eastAsia="zh-CN"/>
        </w:rPr>
        <w:t>自治州领导小组</w:t>
      </w:r>
      <w:r>
        <w:rPr>
          <w:rFonts w:hint="eastAsia" w:ascii="仿宋_GB2312" w:hAnsi="仿宋_GB2312" w:eastAsia="仿宋_GB2312" w:cs="仿宋_GB2312"/>
          <w:sz w:val="32"/>
          <w:szCs w:val="32"/>
        </w:rPr>
        <w:t>办公室负责对各</w:t>
      </w:r>
      <w:r>
        <w:rPr>
          <w:rFonts w:hint="eastAsia" w:ascii="仿宋_GB2312" w:hAnsi="仿宋_GB2312" w:eastAsia="仿宋_GB2312" w:cs="仿宋_GB2312"/>
          <w:sz w:val="32"/>
          <w:szCs w:val="32"/>
          <w:lang w:eastAsia="zh-CN"/>
        </w:rPr>
        <w:t>县（市）</w:t>
      </w:r>
      <w:r>
        <w:rPr>
          <w:rFonts w:hint="eastAsia" w:ascii="仿宋_GB2312" w:hAnsi="仿宋_GB2312" w:eastAsia="仿宋_GB2312" w:cs="仿宋_GB2312"/>
          <w:sz w:val="32"/>
          <w:szCs w:val="32"/>
        </w:rPr>
        <w:t>两违清查整治工作开展情况进行定期调度、定期通报、定期服务指导</w:t>
      </w:r>
      <w:r>
        <w:rPr>
          <w:rFonts w:hint="eastAsia" w:ascii="仿宋_GB2312" w:hAnsi="仿宋_GB2312" w:eastAsia="仿宋_GB2312" w:cs="仿宋_GB2312"/>
          <w:sz w:val="32"/>
          <w:szCs w:val="32"/>
          <w:lang w:eastAsia="zh-CN"/>
        </w:rPr>
        <w:t>；各县（市）</w:t>
      </w:r>
      <w:r>
        <w:rPr>
          <w:rFonts w:hint="eastAsia" w:ascii="仿宋_GB2312" w:hAnsi="仿宋_GB2312" w:eastAsia="仿宋_GB2312" w:cs="仿宋_GB2312"/>
          <w:sz w:val="32"/>
          <w:szCs w:val="32"/>
        </w:rPr>
        <w:t>两违清查整治工作领导机构要充分发挥</w:t>
      </w:r>
      <w:r>
        <w:rPr>
          <w:rFonts w:hint="eastAsia" w:ascii="仿宋_GB2312" w:hAnsi="仿宋_GB2312" w:eastAsia="仿宋_GB2312" w:cs="仿宋_GB2312"/>
          <w:sz w:val="32"/>
          <w:szCs w:val="32"/>
          <w:lang w:eastAsia="zh-CN"/>
        </w:rPr>
        <w:t>作用，认真落实自治州领导小组工作部署，做到全面发动、上下联动、形成合力，确保全面清查到位，问题隐患整治到位。</w:t>
      </w:r>
    </w:p>
    <w:p w14:paraId="7C6B5541">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val="en-US" w:eastAsia="zh-CN"/>
        </w:rPr>
        <w:t>(二)全面落实责任。</w:t>
      </w:r>
      <w:r>
        <w:rPr>
          <w:rFonts w:hint="eastAsia" w:ascii="仿宋_GB2312" w:hAnsi="仿宋_GB2312" w:eastAsia="仿宋_GB2312" w:cs="仿宋_GB2312"/>
          <w:sz w:val="32"/>
          <w:szCs w:val="32"/>
          <w:lang w:eastAsia="zh-CN"/>
        </w:rPr>
        <w:t>各县（市）要结合本地实际，按照专项清查的统一部署，建立街道（城</w:t>
      </w:r>
      <w:r>
        <w:rPr>
          <w:rFonts w:hint="eastAsia" w:ascii="仿宋_GB2312" w:hAnsi="仿宋_GB2312" w:eastAsia="仿宋_GB2312" w:cs="仿宋_GB2312"/>
          <w:sz w:val="32"/>
          <w:szCs w:val="32"/>
          <w:lang w:val="en-US" w:eastAsia="zh-CN"/>
        </w:rPr>
        <w:t>镇</w:t>
      </w:r>
      <w:r>
        <w:rPr>
          <w:rFonts w:hint="eastAsia" w:ascii="仿宋_GB2312" w:hAnsi="仿宋_GB2312" w:eastAsia="仿宋_GB2312" w:cs="仿宋_GB2312"/>
          <w:sz w:val="32"/>
          <w:szCs w:val="32"/>
          <w:lang w:eastAsia="zh-CN"/>
        </w:rPr>
        <w:t>）、社区联动的统筹协调机制。要组织动员房屋建筑产权人（使用人）如实提供房屋建筑基本情况和手续办理情况，压实房屋产权人的房屋安全主体责任，提高产权人和使用人的安全责任意识，严格擅自改变房屋主体和承重结构，有效履行房屋维修保养义务。各县（市）要按照财政事权和支出责任划分，统筹安排工作经费，配齐配强人员力量。</w:t>
      </w:r>
    </w:p>
    <w:p w14:paraId="185CF2B4">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val="en-US" w:eastAsia="zh-CN"/>
        </w:rPr>
        <w:t>(三)严肃问效问责。</w:t>
      </w:r>
      <w:r>
        <w:rPr>
          <w:rFonts w:hint="eastAsia" w:ascii="仿宋_GB2312" w:hAnsi="仿宋_GB2312" w:eastAsia="仿宋_GB2312" w:cs="仿宋_GB2312"/>
          <w:sz w:val="32"/>
          <w:szCs w:val="32"/>
          <w:lang w:eastAsia="zh-CN"/>
        </w:rPr>
        <w:t>自治州人民政府将适时开展督导检查，对工作推进缓慢、问题隐患整治不彻底、不到位的县（市）和部门，将对县（市）和部门主要负责同志进行约谈、通报。各县（市）也要加强对本辖区内清查整治工作的监督，综合运用通报、约谈、警示、曝光等有效措施，加强督促检查，确保取得实实在在成效。</w:t>
      </w:r>
    </w:p>
    <w:p w14:paraId="4241CE6A">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val="en-US" w:eastAsia="zh-CN"/>
        </w:rPr>
        <w:t>(</w:t>
      </w: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lang w:val="en-US" w:eastAsia="zh-CN"/>
        </w:rPr>
        <w:t>)</w:t>
      </w:r>
      <w:r>
        <w:rPr>
          <w:rFonts w:hint="eastAsia" w:ascii="楷体_GB2312" w:hAnsi="楷体_GB2312" w:eastAsia="楷体_GB2312" w:cs="楷体_GB2312"/>
          <w:b/>
          <w:bCs/>
          <w:sz w:val="32"/>
          <w:szCs w:val="32"/>
          <w:lang w:eastAsia="zh-CN"/>
        </w:rPr>
        <w:t>做好宣传引导。</w:t>
      </w:r>
      <w:r>
        <w:rPr>
          <w:rFonts w:hint="eastAsia" w:ascii="仿宋_GB2312" w:hAnsi="仿宋_GB2312" w:eastAsia="仿宋_GB2312" w:cs="仿宋_GB2312"/>
          <w:sz w:val="32"/>
          <w:szCs w:val="32"/>
          <w:lang w:eastAsia="zh-CN"/>
        </w:rPr>
        <w:t>各县（市）要进一步加大宣传工作力度，广泛宣传两违清查整治工作内容和有关法律法规，有针对性地做好解释引导工作，有效化解影响社会稳定的风险隐患。要全面深入开展两违清查整治工作教育培训，不断提高两违清查整治工作的积极性和主动性。</w:t>
      </w:r>
    </w:p>
    <w:p w14:paraId="0328FBF7">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（工作联系人：解建强，联系电话：</w:t>
      </w:r>
      <w:r>
        <w:rPr>
          <w:rFonts w:hint="eastAsia" w:ascii="仿宋_GB2312" w:hAnsi="仿宋_GB2312" w:eastAsia="仿宋_GB2312" w:cs="仿宋_GB2312"/>
          <w:sz w:val="32"/>
          <w:szCs w:val="32"/>
          <w:lang w:val="en-US" w:eastAsia="zh-CN"/>
        </w:rPr>
        <w:t>0908-4222893、18997693633；</w:t>
      </w:r>
      <w:r>
        <w:rPr>
          <w:rFonts w:hint="eastAsia" w:ascii="仿宋_GB2312" w:hAnsi="仿宋_GB2312" w:eastAsia="仿宋_GB2312" w:cs="仿宋_GB2312"/>
          <w:sz w:val="32"/>
          <w:szCs w:val="32"/>
          <w:lang w:eastAsia="zh-CN"/>
        </w:rPr>
        <w:t>苏</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薇，联系电话：</w:t>
      </w:r>
      <w:r>
        <w:rPr>
          <w:rFonts w:hint="eastAsia" w:ascii="仿宋_GB2312" w:hAnsi="仿宋_GB2312" w:eastAsia="仿宋_GB2312" w:cs="仿宋_GB2312"/>
          <w:sz w:val="32"/>
          <w:szCs w:val="32"/>
          <w:lang w:val="en-US" w:eastAsia="zh-CN"/>
        </w:rPr>
        <w:t>18199709812，邮箱：157989059@qq</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com</w:t>
      </w:r>
      <w:r>
        <w:rPr>
          <w:rFonts w:hint="eastAsia" w:ascii="仿宋_GB2312" w:hAnsi="仿宋_GB2312" w:eastAsia="仿宋_GB2312" w:cs="仿宋_GB2312"/>
          <w:sz w:val="32"/>
          <w:szCs w:val="32"/>
          <w:lang w:eastAsia="zh-CN"/>
        </w:rPr>
        <w:t>）</w:t>
      </w:r>
    </w:p>
    <w:p w14:paraId="43862F1D">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638" w:leftChars="304"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附件:自治区城镇房屋建筑违法建设和违法违规审批专项清</w:t>
      </w:r>
    </w:p>
    <w:p w14:paraId="34E4BEF4">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638" w:leftChars="304" w:firstLine="960" w:firstLineChars="3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查整治工作统计表</w:t>
      </w:r>
      <w:r>
        <w:rPr>
          <w:rFonts w:hint="eastAsia" w:ascii="仿宋_GB2312" w:hAnsi="仿宋_GB2312" w:eastAsia="仿宋_GB2312" w:cs="仿宋_GB2312"/>
          <w:sz w:val="32"/>
          <w:szCs w:val="32"/>
          <w:lang w:val="en-US" w:eastAsia="zh-CN"/>
        </w:rPr>
        <w:t xml:space="preserve"> </w:t>
      </w:r>
    </w:p>
    <w:p w14:paraId="0EF099DC">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p>
    <w:p w14:paraId="2575A0CA">
      <w:pPr>
        <w:pStyle w:val="2"/>
        <w:rPr>
          <w:rFonts w:hint="eastAsia" w:ascii="仿宋_GB2312" w:hAnsi="仿宋_GB2312" w:eastAsia="仿宋_GB2312" w:cs="仿宋_GB2312"/>
          <w:sz w:val="32"/>
          <w:szCs w:val="32"/>
          <w:lang w:val="en-US" w:eastAsia="zh-CN"/>
        </w:rPr>
      </w:pPr>
    </w:p>
    <w:p w14:paraId="2DB506D8">
      <w:pPr>
        <w:pStyle w:val="2"/>
        <w:rPr>
          <w:rFonts w:hint="eastAsia"/>
          <w:lang w:val="en-US" w:eastAsia="zh-CN"/>
        </w:rPr>
      </w:pPr>
    </w:p>
    <w:p w14:paraId="6676B48D">
      <w:pPr>
        <w:rPr>
          <w:rFonts w:hint="eastAsia"/>
          <w:lang w:val="en-US" w:eastAsia="zh-CN"/>
        </w:rPr>
      </w:pPr>
    </w:p>
    <w:p w14:paraId="5F1EC479">
      <w:pPr>
        <w:pStyle w:val="2"/>
        <w:rPr>
          <w:rFonts w:hint="eastAsia"/>
          <w:lang w:val="en-US" w:eastAsia="zh-CN"/>
        </w:rPr>
      </w:pPr>
    </w:p>
    <w:p w14:paraId="5FC2AF56">
      <w:pPr>
        <w:rPr>
          <w:rFonts w:hint="eastAsia"/>
          <w:lang w:val="en-US" w:eastAsia="zh-CN"/>
        </w:rPr>
      </w:pPr>
    </w:p>
    <w:p w14:paraId="6907C9A1">
      <w:pPr>
        <w:pStyle w:val="2"/>
        <w:keepNext/>
        <w:keepLines/>
        <w:pageBreakBefore w:val="0"/>
        <w:widowControl w:val="0"/>
        <w:kinsoku/>
        <w:wordWrap/>
        <w:overflowPunct/>
        <w:topLinePunct w:val="0"/>
        <w:autoSpaceDE/>
        <w:autoSpaceDN/>
        <w:bidi w:val="0"/>
        <w:adjustRightInd/>
        <w:snapToGrid/>
        <w:spacing w:line="240" w:lineRule="exact"/>
        <w:textAlignment w:val="auto"/>
        <w:rPr>
          <w:rFonts w:hint="eastAsia"/>
          <w:lang w:val="en-US" w:eastAsia="zh-CN"/>
        </w:rPr>
      </w:pPr>
    </w:p>
    <w:tbl>
      <w:tblPr>
        <w:tblStyle w:val="8"/>
        <w:tblW w:w="95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03"/>
        <w:gridCol w:w="5428"/>
        <w:gridCol w:w="852"/>
        <w:gridCol w:w="875"/>
        <w:gridCol w:w="852"/>
        <w:gridCol w:w="875"/>
      </w:tblGrid>
      <w:tr w14:paraId="2EA74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0" w:hRule="atLeast"/>
        </w:trPr>
        <w:tc>
          <w:tcPr>
            <w:tcW w:w="9585" w:type="dxa"/>
            <w:gridSpan w:val="6"/>
            <w:tcBorders>
              <w:top w:val="nil"/>
              <w:left w:val="nil"/>
              <w:bottom w:val="nil"/>
              <w:right w:val="nil"/>
            </w:tcBorders>
            <w:shd w:val="clear" w:color="auto" w:fill="auto"/>
            <w:tcMar>
              <w:top w:w="15" w:type="dxa"/>
              <w:left w:w="15" w:type="dxa"/>
              <w:right w:w="15" w:type="dxa"/>
            </w:tcMar>
            <w:vAlign w:val="center"/>
          </w:tcPr>
          <w:p w14:paraId="4F7F031C">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i w:val="0"/>
                <w:color w:val="000000"/>
                <w:sz w:val="32"/>
                <w:szCs w:val="32"/>
                <w:u w:val="none"/>
              </w:rPr>
            </w:pPr>
            <w:r>
              <w:rPr>
                <w:rFonts w:hint="eastAsia" w:ascii="黑体" w:hAnsi="宋体" w:eastAsia="黑体" w:cs="黑体"/>
                <w:i w:val="0"/>
                <w:color w:val="000000"/>
                <w:kern w:val="0"/>
                <w:sz w:val="32"/>
                <w:szCs w:val="32"/>
                <w:u w:val="none"/>
                <w:lang w:val="en-US" w:eastAsia="zh-CN" w:bidi="ar"/>
              </w:rPr>
              <w:t>附件</w:t>
            </w:r>
          </w:p>
        </w:tc>
      </w:tr>
      <w:tr w14:paraId="5BD45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60" w:hRule="atLeast"/>
        </w:trPr>
        <w:tc>
          <w:tcPr>
            <w:tcW w:w="9585" w:type="dxa"/>
            <w:gridSpan w:val="6"/>
            <w:tcBorders>
              <w:top w:val="nil"/>
              <w:left w:val="nil"/>
              <w:bottom w:val="nil"/>
              <w:right w:val="nil"/>
            </w:tcBorders>
            <w:shd w:val="clear" w:color="auto" w:fill="auto"/>
            <w:tcMar>
              <w:top w:w="15" w:type="dxa"/>
              <w:left w:w="15" w:type="dxa"/>
              <w:right w:w="15" w:type="dxa"/>
            </w:tcMar>
            <w:vAlign w:val="center"/>
          </w:tcPr>
          <w:p w14:paraId="74073878">
            <w:pPr>
              <w:keepNext w:val="0"/>
              <w:keepLines w:val="0"/>
              <w:widowControl/>
              <w:suppressLineNumbers w:val="0"/>
              <w:spacing w:before="0" w:beforeAutospacing="0" w:after="0" w:afterAutospacing="0"/>
              <w:ind w:left="0" w:right="0"/>
              <w:jc w:val="center"/>
              <w:textAlignment w:val="center"/>
              <w:rPr>
                <w:rFonts w:hint="default" w:ascii="方正小标宋简体" w:hAnsi="方正小标宋简体" w:eastAsia="方正小标宋简体" w:cs="方正小标宋简体"/>
                <w:i w:val="0"/>
                <w:color w:val="000000"/>
                <w:sz w:val="40"/>
                <w:szCs w:val="4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自治区城镇房屋建筑违法建设和违法违规                                                                       审批专项清查工作统计表</w:t>
            </w:r>
            <w:r>
              <w:rPr>
                <w:rFonts w:hint="eastAsia" w:ascii="方正小标宋简体" w:hAnsi="方正小标宋简体" w:eastAsia="方正小标宋简体" w:cs="方正小标宋简体"/>
                <w:i w:val="0"/>
                <w:color w:val="000000"/>
                <w:kern w:val="0"/>
                <w:sz w:val="40"/>
                <w:szCs w:val="40"/>
                <w:u w:val="none"/>
                <w:lang w:val="en-US" w:eastAsia="zh-CN" w:bidi="ar"/>
              </w:rPr>
              <w:br w:type="textWrapping"/>
            </w:r>
            <w:r>
              <w:rPr>
                <w:rStyle w:val="13"/>
                <w:rFonts w:hint="default" w:hAnsi="方正小标宋简体"/>
                <w:lang w:val="en-US" w:eastAsia="zh-CN" w:bidi="ar"/>
              </w:rPr>
              <w:t xml:space="preserve">   （</w:t>
            </w:r>
            <w:r>
              <w:rPr>
                <w:rStyle w:val="14"/>
                <w:rFonts w:hAnsi="方正小标宋简体"/>
                <w:lang w:val="en-US" w:eastAsia="zh-CN" w:bidi="ar"/>
              </w:rPr>
              <w:t xml:space="preserve">        </w:t>
            </w:r>
            <w:r>
              <w:rPr>
                <w:rStyle w:val="13"/>
                <w:rFonts w:hint="default" w:hAnsi="方正小标宋简体"/>
                <w:lang w:val="en-US" w:eastAsia="zh-CN" w:bidi="ar"/>
              </w:rPr>
              <w:t>年</w:t>
            </w:r>
            <w:r>
              <w:rPr>
                <w:rStyle w:val="14"/>
                <w:rFonts w:hAnsi="方正小标宋简体"/>
                <w:lang w:val="en-US" w:eastAsia="zh-CN" w:bidi="ar"/>
              </w:rPr>
              <w:t xml:space="preserve">        </w:t>
            </w:r>
            <w:r>
              <w:rPr>
                <w:rStyle w:val="13"/>
                <w:rFonts w:hint="default" w:hAnsi="方正小标宋简体"/>
                <w:lang w:val="en-US" w:eastAsia="zh-CN" w:bidi="ar"/>
              </w:rPr>
              <w:t>月）</w:t>
            </w:r>
          </w:p>
        </w:tc>
      </w:tr>
      <w:tr w14:paraId="37B2E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9585" w:type="dxa"/>
            <w:gridSpan w:val="6"/>
            <w:tcBorders>
              <w:top w:val="nil"/>
              <w:left w:val="nil"/>
              <w:bottom w:val="nil"/>
              <w:right w:val="nil"/>
            </w:tcBorders>
            <w:shd w:val="clear" w:color="auto" w:fill="auto"/>
            <w:tcMar>
              <w:top w:w="15" w:type="dxa"/>
              <w:left w:w="15" w:type="dxa"/>
              <w:right w:w="15" w:type="dxa"/>
            </w:tcMar>
            <w:vAlign w:val="center"/>
          </w:tcPr>
          <w:p w14:paraId="16B77990">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i w:val="0"/>
                <w:color w:val="000000"/>
                <w:sz w:val="26"/>
                <w:szCs w:val="26"/>
                <w:u w:val="none"/>
              </w:rPr>
            </w:pPr>
            <w:r>
              <w:rPr>
                <w:rFonts w:hint="eastAsia" w:ascii="仿宋" w:hAnsi="仿宋" w:eastAsia="仿宋" w:cs="仿宋"/>
                <w:i w:val="0"/>
                <w:color w:val="000000"/>
                <w:kern w:val="0"/>
                <w:sz w:val="26"/>
                <w:szCs w:val="26"/>
                <w:u w:val="none"/>
                <w:lang w:val="en-US" w:eastAsia="zh-CN" w:bidi="ar"/>
              </w:rPr>
              <w:t>填报地区（公章）：                  填报单位（公章）：</w:t>
            </w:r>
          </w:p>
        </w:tc>
      </w:tr>
      <w:tr w14:paraId="693A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9585" w:type="dxa"/>
            <w:gridSpan w:val="6"/>
            <w:tcBorders>
              <w:top w:val="nil"/>
              <w:left w:val="nil"/>
              <w:bottom w:val="nil"/>
              <w:right w:val="nil"/>
            </w:tcBorders>
            <w:shd w:val="clear" w:color="auto" w:fill="auto"/>
            <w:tcMar>
              <w:top w:w="15" w:type="dxa"/>
              <w:left w:w="15" w:type="dxa"/>
              <w:right w:w="15" w:type="dxa"/>
            </w:tcMar>
            <w:vAlign w:val="center"/>
          </w:tcPr>
          <w:p w14:paraId="1DE6D46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6"/>
                <w:szCs w:val="26"/>
                <w:u w:val="none"/>
              </w:rPr>
            </w:pPr>
            <w:r>
              <w:rPr>
                <w:rFonts w:hint="eastAsia" w:ascii="仿宋" w:hAnsi="仿宋" w:eastAsia="仿宋" w:cs="仿宋"/>
                <w:i w:val="0"/>
                <w:color w:val="000000"/>
                <w:kern w:val="0"/>
                <w:sz w:val="26"/>
                <w:szCs w:val="26"/>
                <w:u w:val="none"/>
                <w:lang w:val="en-US" w:eastAsia="zh-CN" w:bidi="ar"/>
              </w:rPr>
              <w:t>联系人姓名：                        联系人电话：</w:t>
            </w:r>
          </w:p>
        </w:tc>
      </w:tr>
      <w:tr w14:paraId="7B61D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B1904">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序号</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7A579">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内  容</w:t>
            </w:r>
          </w:p>
        </w:tc>
        <w:tc>
          <w:tcPr>
            <w:tcW w:w="345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C9529">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有关情况</w:t>
            </w:r>
          </w:p>
        </w:tc>
      </w:tr>
      <w:tr w14:paraId="05A54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0" w:hRule="atLeast"/>
        </w:trPr>
        <w:tc>
          <w:tcPr>
            <w:tcW w:w="958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682908">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一、本地区总体情况</w:t>
            </w:r>
          </w:p>
        </w:tc>
      </w:tr>
      <w:tr w14:paraId="7E9C2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97B3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7ABC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本地区城市建成区总面积（万平方千米）</w:t>
            </w:r>
          </w:p>
        </w:tc>
        <w:tc>
          <w:tcPr>
            <w:tcW w:w="345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82E8E">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38EF7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D48E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CB19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本地区城市建成区既有房屋建筑总量（栋），其中已取得产权登记的房屋建筑总量（栋）</w:t>
            </w:r>
          </w:p>
        </w:tc>
        <w:tc>
          <w:tcPr>
            <w:tcW w:w="345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2A1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p>
        </w:tc>
      </w:tr>
      <w:tr w14:paraId="7B47D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4E4B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C32B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本地区城市建成区既有房屋建筑总建筑面积（万平方米），其中已取得产权登记的房屋建筑总建筑面积（万平方米）</w:t>
            </w:r>
          </w:p>
        </w:tc>
        <w:tc>
          <w:tcPr>
            <w:tcW w:w="345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161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p>
        </w:tc>
      </w:tr>
      <w:tr w14:paraId="7C49B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521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8B70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本地区城市建成区在建房屋建筑总量（栋）</w:t>
            </w:r>
          </w:p>
        </w:tc>
        <w:tc>
          <w:tcPr>
            <w:tcW w:w="345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5294D">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1DB5F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6CC8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F8B26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本地区城市建成区在建房屋建筑总建筑面积（万平方米）</w:t>
            </w:r>
          </w:p>
        </w:tc>
        <w:tc>
          <w:tcPr>
            <w:tcW w:w="345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B87AF">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50B48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77C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6</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5673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本地区党委政府领导是否作出批示指示</w:t>
            </w:r>
          </w:p>
        </w:tc>
        <w:tc>
          <w:tcPr>
            <w:tcW w:w="345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0E2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w:t>
            </w:r>
            <w:r>
              <w:rPr>
                <w:rStyle w:val="15"/>
                <w:lang w:val="en-US" w:eastAsia="zh-CN" w:bidi="ar"/>
              </w:rPr>
              <w:t>是/□否</w:t>
            </w:r>
          </w:p>
        </w:tc>
      </w:tr>
      <w:tr w14:paraId="6BB33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3C8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7</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4B49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本地区住建部门是否成立专项清查工作领导小组</w:t>
            </w:r>
          </w:p>
        </w:tc>
        <w:tc>
          <w:tcPr>
            <w:tcW w:w="345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025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w:t>
            </w:r>
            <w:r>
              <w:rPr>
                <w:rStyle w:val="15"/>
                <w:lang w:val="en-US" w:eastAsia="zh-CN" w:bidi="ar"/>
              </w:rPr>
              <w:t>是/□否</w:t>
            </w:r>
          </w:p>
        </w:tc>
      </w:tr>
      <w:tr w14:paraId="0E144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5CE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8</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E1341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本地区住建部门是否制定专项清查工作方案</w:t>
            </w:r>
          </w:p>
        </w:tc>
        <w:tc>
          <w:tcPr>
            <w:tcW w:w="345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5043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w:t>
            </w:r>
            <w:r>
              <w:rPr>
                <w:rStyle w:val="15"/>
                <w:lang w:val="en-US" w:eastAsia="zh-CN" w:bidi="ar"/>
              </w:rPr>
              <w:t>是/□否</w:t>
            </w:r>
          </w:p>
        </w:tc>
      </w:tr>
      <w:tr w14:paraId="14F3F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958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DC94DC">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二、隐患问题排查整改情况</w:t>
            </w:r>
          </w:p>
        </w:tc>
      </w:tr>
      <w:tr w14:paraId="050C4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7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9B5D9">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序号</w:t>
            </w:r>
          </w:p>
        </w:tc>
        <w:tc>
          <w:tcPr>
            <w:tcW w:w="542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2D314">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内  容</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A3312">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排查数量</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9A2D6">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整改数量</w:t>
            </w:r>
          </w:p>
        </w:tc>
      </w:tr>
      <w:tr w14:paraId="576D0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0"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E4DC1">
            <w:pPr>
              <w:keepNext w:val="0"/>
              <w:keepLines w:val="0"/>
              <w:suppressLineNumbers w:val="0"/>
              <w:spacing w:before="0" w:beforeAutospacing="0" w:after="0" w:afterAutospacing="0"/>
              <w:ind w:left="0" w:right="0"/>
              <w:jc w:val="center"/>
              <w:rPr>
                <w:rFonts w:hint="eastAsia" w:ascii="黑体" w:hAnsi="宋体" w:eastAsia="黑体" w:cs="黑体"/>
                <w:i w:val="0"/>
                <w:color w:val="000000"/>
                <w:sz w:val="24"/>
                <w:szCs w:val="24"/>
                <w:u w:val="none"/>
              </w:rPr>
            </w:pPr>
          </w:p>
        </w:tc>
        <w:tc>
          <w:tcPr>
            <w:tcW w:w="54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C5515">
            <w:pPr>
              <w:keepNext w:val="0"/>
              <w:keepLines w:val="0"/>
              <w:suppressLineNumbers w:val="0"/>
              <w:spacing w:before="0" w:beforeAutospacing="0" w:after="0" w:afterAutospacing="0"/>
              <w:ind w:left="0" w:right="0"/>
              <w:jc w:val="center"/>
              <w:rPr>
                <w:rFonts w:hint="eastAsia" w:ascii="黑体" w:hAnsi="宋体" w:eastAsia="黑体" w:cs="黑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62A14">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月度值</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CD7B37">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累计值</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825AB">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月度值</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19B1F">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累计值</w:t>
            </w:r>
          </w:p>
        </w:tc>
      </w:tr>
      <w:tr w14:paraId="3C7CB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C47C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9</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77A1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排查整改既有房屋建筑数量（栋）</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CC8CA5">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EBE25">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0B3C5">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3B4E7">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6D65B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FEB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10</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83076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排查整改既有房屋建筑面积（万平方米）</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79EB7">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ABF9F">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CA6500">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FF5C7">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3DEB7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AC02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11</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9BBC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排查整改在建房屋建筑数量（栋）</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D93B65">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FD5A2A">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D8993">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D6FC2">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0B355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231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12</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B9DF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排查整改在建房屋建筑面积（万平方米）</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F77A00">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45CEB9">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7CAAA">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57FC8">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0574C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A67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13</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227D7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排查整改违法建设行为（起）</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513F9">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400CB">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D7EB5">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55ADE">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44722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7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58808">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序号</w:t>
            </w:r>
          </w:p>
        </w:tc>
        <w:tc>
          <w:tcPr>
            <w:tcW w:w="542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67687">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内  容</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BEDCB">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排查数量</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87C48">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整改数量</w:t>
            </w:r>
          </w:p>
        </w:tc>
      </w:tr>
      <w:tr w14:paraId="3DFA4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0"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10CE58">
            <w:pPr>
              <w:keepNext w:val="0"/>
              <w:keepLines w:val="0"/>
              <w:suppressLineNumbers w:val="0"/>
              <w:spacing w:before="0" w:beforeAutospacing="0" w:after="0" w:afterAutospacing="0"/>
              <w:ind w:left="0" w:right="0"/>
              <w:jc w:val="center"/>
              <w:rPr>
                <w:rFonts w:hint="eastAsia" w:ascii="黑体" w:hAnsi="宋体" w:eastAsia="黑体" w:cs="黑体"/>
                <w:i w:val="0"/>
                <w:color w:val="000000"/>
                <w:sz w:val="24"/>
                <w:szCs w:val="24"/>
                <w:u w:val="none"/>
              </w:rPr>
            </w:pPr>
          </w:p>
        </w:tc>
        <w:tc>
          <w:tcPr>
            <w:tcW w:w="54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AB378">
            <w:pPr>
              <w:keepNext w:val="0"/>
              <w:keepLines w:val="0"/>
              <w:suppressLineNumbers w:val="0"/>
              <w:spacing w:before="0" w:beforeAutospacing="0" w:after="0" w:afterAutospacing="0"/>
              <w:ind w:left="0" w:right="0"/>
              <w:jc w:val="center"/>
              <w:rPr>
                <w:rFonts w:hint="eastAsia" w:ascii="黑体" w:hAnsi="宋体" w:eastAsia="黑体" w:cs="黑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58886">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月度值</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020CF">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累计值</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ED875">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月度值</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6A3ED">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累计值</w:t>
            </w:r>
          </w:p>
        </w:tc>
      </w:tr>
      <w:tr w14:paraId="62F55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2ED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14</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A79DE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其中，未依法办理立项手续（起）</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4DD7A">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CAF9D">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BAC36">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82370">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518F6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4C9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15</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57484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违法占地建设（起）</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86BA4">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166B2">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95359">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D8AE8">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068D1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631B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16</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57DF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未取得建设工程规划许可证或者未按照建设工程规划许可证的规定进行建设（起）</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659F6">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28B486">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7F1999">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0FCEBD">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03183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AEC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17</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C374E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*未依法取得施工许可证擅自施工（起）</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DBEC3">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C5185">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407FE">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FA199">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33EB2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944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18</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DC13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*无资质设计、施工（起）</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1CC56">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78C31">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46BE1">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6E1AAC">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59C81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EAB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19</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0D32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*未办理竣工验收擅自投入使用（起）</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AF720">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55A7C">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D9901">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CB3FD">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3B2A5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0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701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20</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C5144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*擅自改变使用功能，擅自改变房屋结构和布局，违法改扩建（含加层、增设夹层、开挖地下空间、分隔群租等情形）（起）</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A7FC6">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942E4">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12569D">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296C9">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159C6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D20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21</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7C4FF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*存在重大结构安全隐患可能发生坍塌（起）</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ECA53">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B4091">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9B96CA">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13BEA">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23599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8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5D6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22</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D52F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存在前述问题情形并违规取得消防、工商登记以及其他生产经营许可，或者未依法取得消防、工商登记以及其他生产经营许可，用作生产经营或公共事业，特别是人员密集场所（起）         </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F2D4D">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C4C53">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C5EFF">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B5599">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26EFB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697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23</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4953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清查违法违规审批行为（起）</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567FC">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173AF9">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6B4A3">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FD4505">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0582F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70EF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24</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1425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其中，立项审批违法违规行为（起）</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655C53">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ABE4D">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5079F">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F746D">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11085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04F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25</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401D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用地审批违法违规行为（起）</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9D492E">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9A3B28">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9EA36">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BAFD7">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6FD36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9B3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26</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DB71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规划审批违法违规行为（起）</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E0ECE">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67EF7F">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45046">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A9DD6">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16A33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7CA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27</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8FA9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*施工许可审批违法违规行为（起）</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FC52A">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6F46F">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7E381">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52246A">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47BCF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618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28</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302A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经营审批违法违规行为（起）</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878CE">
            <w:pPr>
              <w:keepNext w:val="0"/>
              <w:keepLines w:val="0"/>
              <w:suppressLineNumbers w:val="0"/>
              <w:spacing w:before="0" w:beforeAutospacing="0" w:after="0" w:afterAutospacing="0"/>
              <w:ind w:left="0" w:right="0"/>
              <w:rPr>
                <w:rFonts w:hint="eastAsia" w:ascii="仿宋" w:hAnsi="仿宋" w:eastAsia="仿宋" w:cs="仿宋"/>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7AC6E">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21FAC">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B0D26">
            <w:pPr>
              <w:keepNext w:val="0"/>
              <w:keepLines w:val="0"/>
              <w:suppressLineNumbers w:val="0"/>
              <w:spacing w:before="0" w:beforeAutospacing="0" w:after="0" w:afterAutospacing="0"/>
              <w:ind w:left="0" w:right="0"/>
              <w:rPr>
                <w:rFonts w:hint="eastAsia" w:ascii="宋体" w:hAnsi="宋体" w:eastAsia="宋体" w:cs="宋体"/>
                <w:i w:val="0"/>
                <w:color w:val="000000"/>
                <w:sz w:val="24"/>
                <w:szCs w:val="24"/>
                <w:u w:val="none"/>
              </w:rPr>
            </w:pPr>
          </w:p>
        </w:tc>
      </w:tr>
      <w:tr w14:paraId="06B49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0" w:hRule="atLeast"/>
        </w:trPr>
        <w:tc>
          <w:tcPr>
            <w:tcW w:w="958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19775">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三、隐患问题整改分类统计情况</w:t>
            </w:r>
          </w:p>
        </w:tc>
      </w:tr>
      <w:tr w14:paraId="7594D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80363">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序号</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4D36C">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内  容</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5B7EA">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月度值</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D91FF">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累计值</w:t>
            </w:r>
          </w:p>
        </w:tc>
      </w:tr>
      <w:tr w14:paraId="78FEA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ADB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29</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B4A4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予以拆除的房屋建筑数量（栋）</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66081">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7FCBFF">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17097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B8F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30</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178E7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予以拆除的房屋建筑面积（万平方米）</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D78EF">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1FE17">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7CCD1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70F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31</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85FA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予以加固处理的房屋建筑数量（栋）</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4D4E90">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E0B74">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72C01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802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32</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E770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予以加固处理的房屋建筑面积（万平方米）</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AE0855">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EECA70">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368A4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D5D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33</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4DCC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予以没收的房屋建筑数量（栋）</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9289D0">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F80B61">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22D14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D5E3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34</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4855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予以没收的房屋建筑面积（万平方米）</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E6A4F">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10BF1">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6BFE6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6FE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35</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BE25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予以责令停止使用的房屋建筑数量（栋）</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23954">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EF6249">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25E98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E7C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36</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B38E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予以责令停止使用的房屋建筑面积（万平方米）</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32679">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25182A">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140EE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B50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37</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BB3B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予以责令停工整改的房屋建筑数量（栋）</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D7A54">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8F80DB">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3E3EE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57E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38</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01E3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予以责令停工整改的房屋建筑面积（万平方米）</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79D80">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2948A">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54A3F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789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39</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FD0C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处罚企业数量（家），处罚人员数量（人）</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60A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F26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p>
        </w:tc>
      </w:tr>
      <w:tr w14:paraId="5897A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7B3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40</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7B46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罚款金额（万元）</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981D1">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DCEFE">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33F5C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373A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41</w:t>
            </w:r>
          </w:p>
        </w:tc>
        <w:tc>
          <w:tcPr>
            <w:tcW w:w="5428" w:type="dxa"/>
            <w:tcBorders>
              <w:top w:val="single" w:color="000000" w:sz="4" w:space="0"/>
              <w:left w:val="nil"/>
              <w:bottom w:val="single" w:color="000000" w:sz="4" w:space="0"/>
              <w:right w:val="nil"/>
            </w:tcBorders>
            <w:shd w:val="clear" w:color="auto" w:fill="auto"/>
            <w:tcMar>
              <w:top w:w="15" w:type="dxa"/>
              <w:left w:w="15" w:type="dxa"/>
              <w:right w:w="15" w:type="dxa"/>
            </w:tcMar>
            <w:vAlign w:val="center"/>
          </w:tcPr>
          <w:p w14:paraId="589AEDC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下发整改通知单（份）</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761D71">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A2F0A">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71A37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0" w:hRule="atLeast"/>
        </w:trPr>
        <w:tc>
          <w:tcPr>
            <w:tcW w:w="958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452BC0">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四、信息系统建设情况</w:t>
            </w:r>
          </w:p>
        </w:tc>
      </w:tr>
      <w:tr w14:paraId="2834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C94A4">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74AD1">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内  容</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136A2">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月进展</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7B650">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总体进展</w:t>
            </w:r>
          </w:p>
        </w:tc>
      </w:tr>
      <w:tr w14:paraId="32664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7CA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42</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2BD9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城市信息模型（CIM）基础平台建设进展情况</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E37ACD">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FB3C1">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5F48B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1F5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43</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C650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城市运行管理服务平台建设进展情况</w:t>
            </w: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BD1C7">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c>
          <w:tcPr>
            <w:tcW w:w="17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A6CFE">
            <w:pPr>
              <w:keepNext w:val="0"/>
              <w:keepLines w:val="0"/>
              <w:suppressLineNumbers w:val="0"/>
              <w:spacing w:before="0" w:beforeAutospacing="0" w:after="0" w:afterAutospacing="0"/>
              <w:ind w:left="0" w:right="0"/>
              <w:jc w:val="center"/>
              <w:rPr>
                <w:rFonts w:hint="eastAsia" w:ascii="仿宋" w:hAnsi="仿宋" w:eastAsia="仿宋" w:cs="仿宋"/>
                <w:i w:val="0"/>
                <w:color w:val="000000"/>
                <w:sz w:val="24"/>
                <w:szCs w:val="24"/>
                <w:u w:val="none"/>
              </w:rPr>
            </w:pPr>
          </w:p>
        </w:tc>
      </w:tr>
      <w:tr w14:paraId="7617C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4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429A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44</w:t>
            </w:r>
          </w:p>
        </w:tc>
        <w:tc>
          <w:tcPr>
            <w:tcW w:w="5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BF761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清查数据是否已录入城市运行管理服务平台系统，或形成清查数据电子台账</w:t>
            </w:r>
          </w:p>
        </w:tc>
        <w:tc>
          <w:tcPr>
            <w:tcW w:w="345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581E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1.□已录入平台系统；</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2.□已形成电子台账；</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3.□未录入平台系统，未形成电子台账</w:t>
            </w:r>
          </w:p>
        </w:tc>
      </w:tr>
    </w:tbl>
    <w:p w14:paraId="38275A56">
      <w:pPr>
        <w:pStyle w:val="2"/>
        <w:rPr>
          <w:rFonts w:hint="eastAsia"/>
          <w:lang w:val="en-US" w:eastAsia="zh-CN"/>
        </w:rPr>
      </w:pPr>
    </w:p>
    <w:p w14:paraId="00FD0B41">
      <w:pPr>
        <w:pStyle w:val="2"/>
        <w:rPr>
          <w:rFonts w:hint="eastAsia"/>
          <w:lang w:val="en-US" w:eastAsia="zh-CN"/>
        </w:rPr>
      </w:pPr>
    </w:p>
    <w:p w14:paraId="1B2049D3">
      <w:pPr>
        <w:rPr>
          <w:rFonts w:hint="default" w:ascii="仿宋" w:hAnsi="仿宋" w:eastAsia="仿宋"/>
          <w:b w:val="0"/>
          <w:bCs/>
          <w:color w:val="auto"/>
          <w:sz w:val="18"/>
          <w:szCs w:val="18"/>
          <w:lang w:val="en-US" w:eastAsia="zh-CN"/>
        </w:rPr>
      </w:pPr>
    </w:p>
    <w:p w14:paraId="1B3227E2">
      <w:pPr>
        <w:pStyle w:val="2"/>
        <w:rPr>
          <w:rFonts w:hint="default" w:ascii="仿宋" w:hAnsi="仿宋" w:eastAsia="仿宋"/>
          <w:b w:val="0"/>
          <w:bCs/>
          <w:color w:val="auto"/>
          <w:sz w:val="18"/>
          <w:szCs w:val="18"/>
          <w:lang w:val="en-US" w:eastAsia="zh-CN"/>
        </w:rPr>
      </w:pPr>
    </w:p>
    <w:p w14:paraId="3468BCA6">
      <w:pPr>
        <w:pStyle w:val="7"/>
        <w:tabs>
          <w:tab w:val="left" w:pos="180"/>
          <w:tab w:val="left" w:pos="540"/>
        </w:tabs>
        <w:spacing w:line="540" w:lineRule="exact"/>
        <w:ind w:left="1119" w:leftChars="133" w:hanging="840" w:hangingChars="300"/>
        <w:rPr>
          <w:rFonts w:ascii="仿宋_GB2312" w:eastAsia="仿宋_GB2312"/>
          <w:sz w:val="28"/>
          <w:szCs w:val="28"/>
        </w:rPr>
      </w:pPr>
    </w:p>
    <w:p w14:paraId="42672F03">
      <w:pPr>
        <w:pStyle w:val="7"/>
        <w:tabs>
          <w:tab w:val="left" w:pos="180"/>
          <w:tab w:val="left" w:pos="540"/>
        </w:tabs>
        <w:spacing w:line="540" w:lineRule="exact"/>
        <w:ind w:left="1119" w:leftChars="133" w:hanging="840" w:hangingChars="300"/>
        <w:rPr>
          <w:rFonts w:ascii="仿宋_GB2312" w:eastAsia="仿宋_GB2312"/>
          <w:sz w:val="28"/>
          <w:szCs w:val="28"/>
        </w:rPr>
      </w:pPr>
    </w:p>
    <w:p w14:paraId="76C74397">
      <w:pPr>
        <w:pStyle w:val="7"/>
        <w:tabs>
          <w:tab w:val="left" w:pos="180"/>
          <w:tab w:val="left" w:pos="540"/>
        </w:tabs>
        <w:spacing w:line="540" w:lineRule="exact"/>
        <w:ind w:left="1119" w:leftChars="133" w:hanging="840" w:hangingChars="300"/>
        <w:rPr>
          <w:rFonts w:ascii="仿宋_GB2312" w:eastAsia="仿宋_GB2312"/>
          <w:sz w:val="28"/>
          <w:szCs w:val="28"/>
        </w:rPr>
      </w:pPr>
    </w:p>
    <w:p w14:paraId="4F986FF0">
      <w:pPr>
        <w:pStyle w:val="7"/>
        <w:tabs>
          <w:tab w:val="left" w:pos="180"/>
          <w:tab w:val="left" w:pos="540"/>
        </w:tabs>
        <w:spacing w:line="540" w:lineRule="exact"/>
        <w:ind w:left="1119" w:leftChars="133" w:hanging="840" w:hangingChars="300"/>
        <w:rPr>
          <w:rFonts w:ascii="仿宋_GB2312" w:eastAsia="仿宋_GB2312"/>
          <w:sz w:val="28"/>
          <w:szCs w:val="28"/>
        </w:rPr>
      </w:pPr>
    </w:p>
    <w:p w14:paraId="0478CFC0">
      <w:pPr>
        <w:pStyle w:val="7"/>
        <w:tabs>
          <w:tab w:val="left" w:pos="180"/>
          <w:tab w:val="left" w:pos="540"/>
        </w:tabs>
        <w:spacing w:line="540" w:lineRule="exact"/>
        <w:ind w:left="1119" w:leftChars="133" w:hanging="840" w:hangingChars="300"/>
        <w:rPr>
          <w:rFonts w:ascii="仿宋_GB2312" w:eastAsia="仿宋_GB2312"/>
          <w:sz w:val="28"/>
          <w:szCs w:val="28"/>
        </w:rPr>
      </w:pPr>
    </w:p>
    <w:p w14:paraId="7DB042AB">
      <w:pPr>
        <w:pStyle w:val="7"/>
        <w:tabs>
          <w:tab w:val="left" w:pos="180"/>
          <w:tab w:val="left" w:pos="540"/>
        </w:tabs>
        <w:spacing w:line="540" w:lineRule="exact"/>
        <w:ind w:left="1119" w:leftChars="133" w:hanging="840" w:hangingChars="300"/>
        <w:rPr>
          <w:rFonts w:ascii="仿宋_GB2312" w:eastAsia="仿宋_GB2312"/>
          <w:sz w:val="28"/>
          <w:szCs w:val="28"/>
        </w:rPr>
      </w:pPr>
    </w:p>
    <w:p w14:paraId="0C7EB5C6">
      <w:pPr>
        <w:pStyle w:val="7"/>
        <w:tabs>
          <w:tab w:val="left" w:pos="180"/>
          <w:tab w:val="left" w:pos="540"/>
        </w:tabs>
        <w:spacing w:line="540" w:lineRule="exact"/>
        <w:ind w:left="1119" w:leftChars="133" w:hanging="840" w:hangingChars="300"/>
        <w:rPr>
          <w:rFonts w:ascii="仿宋_GB2312" w:eastAsia="仿宋_GB2312"/>
          <w:sz w:val="28"/>
          <w:szCs w:val="28"/>
        </w:rPr>
      </w:pPr>
    </w:p>
    <w:p w14:paraId="75AC7119">
      <w:pPr>
        <w:pStyle w:val="7"/>
        <w:tabs>
          <w:tab w:val="left" w:pos="180"/>
          <w:tab w:val="left" w:pos="540"/>
        </w:tabs>
        <w:spacing w:line="540" w:lineRule="exact"/>
        <w:ind w:left="1119" w:leftChars="133" w:hanging="840" w:hangingChars="300"/>
        <w:rPr>
          <w:rFonts w:ascii="仿宋_GB2312" w:eastAsia="仿宋_GB2312"/>
          <w:sz w:val="28"/>
          <w:szCs w:val="28"/>
        </w:rPr>
      </w:pPr>
    </w:p>
    <w:p w14:paraId="17F4BB44">
      <w:pPr>
        <w:pStyle w:val="7"/>
        <w:tabs>
          <w:tab w:val="left" w:pos="180"/>
          <w:tab w:val="left" w:pos="540"/>
        </w:tabs>
        <w:spacing w:line="540" w:lineRule="exact"/>
        <w:ind w:left="1119" w:leftChars="133" w:hanging="840" w:hangingChars="300"/>
        <w:rPr>
          <w:rFonts w:hint="default" w:ascii="仿宋_GB2312" w:eastAsia="仿宋_GB2312"/>
          <w:sz w:val="28"/>
          <w:szCs w:val="28"/>
          <w:lang w:val="en-US" w:eastAsia="zh-CN"/>
        </w:rPr>
      </w:pPr>
    </w:p>
    <w:sectPr>
      <w:footerReference r:id="rId3" w:type="default"/>
      <w:pgSz w:w="11906" w:h="16838"/>
      <w:pgMar w:top="1984" w:right="1588" w:bottom="2098" w:left="1474" w:header="851" w:footer="1474" w:gutter="0"/>
      <w:pgNumType w:fmt="numberInDash"/>
      <w:cols w:space="0" w:num="1"/>
      <w:rtlGutter w:val="0"/>
      <w:docGrid w:type="linesAndChars" w:linePitch="312" w:charSpace="1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41102">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3FCB36">
                          <w:pPr>
                            <w:pStyle w:val="5"/>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- 2 -</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6D3FCB36">
                    <w:pPr>
                      <w:pStyle w:val="5"/>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- 2 -</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0A9265"/>
    <w:multiLevelType w:val="singleLevel"/>
    <w:tmpl w:val="120A9265"/>
    <w:lvl w:ilvl="0" w:tentative="0">
      <w:start w:val="1"/>
      <w:numFmt w:val="chineseCounting"/>
      <w:suff w:val="nothing"/>
      <w:lvlText w:val="%1、"/>
      <w:lvlJc w:val="left"/>
      <w:pPr>
        <w:ind w:left="640" w:leftChars="0" w:firstLine="0" w:firstLineChars="0"/>
      </w:pPr>
      <w:rPr>
        <w:rFonts w:hint="eastAsia"/>
      </w:rPr>
    </w:lvl>
  </w:abstractNum>
  <w:abstractNum w:abstractNumId="1">
    <w:nsid w:val="43CBECE0"/>
    <w:multiLevelType w:val="singleLevel"/>
    <w:tmpl w:val="43CBECE0"/>
    <w:lvl w:ilvl="0" w:tentative="0">
      <w:start w:val="4"/>
      <w:numFmt w:val="chineseCounting"/>
      <w:suff w:val="nothing"/>
      <w:lvlText w:val="%1、"/>
      <w:lvlJc w:val="left"/>
      <w:rPr>
        <w:rFonts w:hint="eastAsia"/>
      </w:rPr>
    </w:lvl>
  </w:abstractNum>
  <w:abstractNum w:abstractNumId="2">
    <w:nsid w:val="7621D6D6"/>
    <w:multiLevelType w:val="singleLevel"/>
    <w:tmpl w:val="7621D6D6"/>
    <w:lvl w:ilvl="0" w:tentative="0">
      <w:start w:val="1"/>
      <w:numFmt w:val="decimal"/>
      <w:suff w:val="nothing"/>
      <w:lvlText w:val="（%1）"/>
      <w:lvlJc w:val="left"/>
      <w:pPr>
        <w:ind w:left="63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E57"/>
    <w:rsid w:val="00014E55"/>
    <w:rsid w:val="00015B78"/>
    <w:rsid w:val="00020C5F"/>
    <w:rsid w:val="000256C2"/>
    <w:rsid w:val="00034E45"/>
    <w:rsid w:val="00052813"/>
    <w:rsid w:val="000B3E20"/>
    <w:rsid w:val="000D17FB"/>
    <w:rsid w:val="000E06B3"/>
    <w:rsid w:val="000E215F"/>
    <w:rsid w:val="000F34EC"/>
    <w:rsid w:val="000F5BED"/>
    <w:rsid w:val="001053C0"/>
    <w:rsid w:val="00105CE7"/>
    <w:rsid w:val="00106B09"/>
    <w:rsid w:val="00141AE6"/>
    <w:rsid w:val="00146ACC"/>
    <w:rsid w:val="001722F6"/>
    <w:rsid w:val="00175827"/>
    <w:rsid w:val="0018121A"/>
    <w:rsid w:val="00182C5C"/>
    <w:rsid w:val="00187C18"/>
    <w:rsid w:val="00192D6F"/>
    <w:rsid w:val="001B0B27"/>
    <w:rsid w:val="001B0B6F"/>
    <w:rsid w:val="001C1AE3"/>
    <w:rsid w:val="001C5A2D"/>
    <w:rsid w:val="00202861"/>
    <w:rsid w:val="00205D58"/>
    <w:rsid w:val="00224536"/>
    <w:rsid w:val="00243874"/>
    <w:rsid w:val="00264970"/>
    <w:rsid w:val="002B6FB6"/>
    <w:rsid w:val="002C6AE7"/>
    <w:rsid w:val="002D6536"/>
    <w:rsid w:val="00344EA0"/>
    <w:rsid w:val="00373801"/>
    <w:rsid w:val="003865CB"/>
    <w:rsid w:val="00387782"/>
    <w:rsid w:val="0039314A"/>
    <w:rsid w:val="003A389C"/>
    <w:rsid w:val="003B0120"/>
    <w:rsid w:val="003B1F41"/>
    <w:rsid w:val="003C6494"/>
    <w:rsid w:val="003D0DF0"/>
    <w:rsid w:val="003E05FE"/>
    <w:rsid w:val="0040709C"/>
    <w:rsid w:val="0042549B"/>
    <w:rsid w:val="00441980"/>
    <w:rsid w:val="004468F5"/>
    <w:rsid w:val="004671C2"/>
    <w:rsid w:val="00467653"/>
    <w:rsid w:val="00476C6C"/>
    <w:rsid w:val="0048555F"/>
    <w:rsid w:val="004A1196"/>
    <w:rsid w:val="004D5C88"/>
    <w:rsid w:val="005010EF"/>
    <w:rsid w:val="0050601E"/>
    <w:rsid w:val="005318E8"/>
    <w:rsid w:val="00535007"/>
    <w:rsid w:val="00546288"/>
    <w:rsid w:val="00557516"/>
    <w:rsid w:val="005625B2"/>
    <w:rsid w:val="00576F5F"/>
    <w:rsid w:val="0059507B"/>
    <w:rsid w:val="005C0A7F"/>
    <w:rsid w:val="005C3A5D"/>
    <w:rsid w:val="005E057A"/>
    <w:rsid w:val="005F7F34"/>
    <w:rsid w:val="0060507F"/>
    <w:rsid w:val="00636409"/>
    <w:rsid w:val="006624EE"/>
    <w:rsid w:val="006632F8"/>
    <w:rsid w:val="00666911"/>
    <w:rsid w:val="00667A70"/>
    <w:rsid w:val="006B2F8C"/>
    <w:rsid w:val="006E29A0"/>
    <w:rsid w:val="006F0024"/>
    <w:rsid w:val="007511B0"/>
    <w:rsid w:val="00762590"/>
    <w:rsid w:val="00774811"/>
    <w:rsid w:val="007A15B9"/>
    <w:rsid w:val="007D13C9"/>
    <w:rsid w:val="007D1880"/>
    <w:rsid w:val="007E315B"/>
    <w:rsid w:val="007F6FEF"/>
    <w:rsid w:val="0084335F"/>
    <w:rsid w:val="00846CAC"/>
    <w:rsid w:val="00871B7F"/>
    <w:rsid w:val="008B777A"/>
    <w:rsid w:val="008F60AB"/>
    <w:rsid w:val="00933ABD"/>
    <w:rsid w:val="00945A2C"/>
    <w:rsid w:val="009764D5"/>
    <w:rsid w:val="0097784E"/>
    <w:rsid w:val="009A4B71"/>
    <w:rsid w:val="009B0F5F"/>
    <w:rsid w:val="009B46F0"/>
    <w:rsid w:val="009E288D"/>
    <w:rsid w:val="009F3513"/>
    <w:rsid w:val="00A03331"/>
    <w:rsid w:val="00A240E5"/>
    <w:rsid w:val="00A30619"/>
    <w:rsid w:val="00A418EC"/>
    <w:rsid w:val="00A62E2F"/>
    <w:rsid w:val="00A95CFE"/>
    <w:rsid w:val="00AB54DE"/>
    <w:rsid w:val="00AC293C"/>
    <w:rsid w:val="00AF2C87"/>
    <w:rsid w:val="00AF3A28"/>
    <w:rsid w:val="00B004FD"/>
    <w:rsid w:val="00B06A4C"/>
    <w:rsid w:val="00B43D67"/>
    <w:rsid w:val="00B91077"/>
    <w:rsid w:val="00BA34D1"/>
    <w:rsid w:val="00BB38DA"/>
    <w:rsid w:val="00BC41D3"/>
    <w:rsid w:val="00BD7116"/>
    <w:rsid w:val="00C01E5D"/>
    <w:rsid w:val="00C13192"/>
    <w:rsid w:val="00C22E57"/>
    <w:rsid w:val="00C23A1E"/>
    <w:rsid w:val="00C428BF"/>
    <w:rsid w:val="00C51403"/>
    <w:rsid w:val="00C60320"/>
    <w:rsid w:val="00C6262C"/>
    <w:rsid w:val="00C67E3D"/>
    <w:rsid w:val="00C96007"/>
    <w:rsid w:val="00CA707F"/>
    <w:rsid w:val="00CC363A"/>
    <w:rsid w:val="00CC534E"/>
    <w:rsid w:val="00CD1F05"/>
    <w:rsid w:val="00D03A71"/>
    <w:rsid w:val="00D1248E"/>
    <w:rsid w:val="00D23EFE"/>
    <w:rsid w:val="00D66DCC"/>
    <w:rsid w:val="00D800A3"/>
    <w:rsid w:val="00D86CCB"/>
    <w:rsid w:val="00DC4EEE"/>
    <w:rsid w:val="00DD103A"/>
    <w:rsid w:val="00DE060D"/>
    <w:rsid w:val="00DE461B"/>
    <w:rsid w:val="00E0372B"/>
    <w:rsid w:val="00E14019"/>
    <w:rsid w:val="00E202F4"/>
    <w:rsid w:val="00E3206A"/>
    <w:rsid w:val="00E33178"/>
    <w:rsid w:val="00E53D87"/>
    <w:rsid w:val="00E701C8"/>
    <w:rsid w:val="00EA5878"/>
    <w:rsid w:val="00F07EEE"/>
    <w:rsid w:val="00F2078D"/>
    <w:rsid w:val="00F20EF3"/>
    <w:rsid w:val="00F25CF8"/>
    <w:rsid w:val="00F2626B"/>
    <w:rsid w:val="00F2756C"/>
    <w:rsid w:val="00F6068A"/>
    <w:rsid w:val="00F7597D"/>
    <w:rsid w:val="00F80B80"/>
    <w:rsid w:val="00F8104A"/>
    <w:rsid w:val="00FA23B3"/>
    <w:rsid w:val="00FC2D58"/>
    <w:rsid w:val="00FC3300"/>
    <w:rsid w:val="00FC6061"/>
    <w:rsid w:val="032727F5"/>
    <w:rsid w:val="0343798A"/>
    <w:rsid w:val="039F6D4F"/>
    <w:rsid w:val="03AA14B4"/>
    <w:rsid w:val="03C62B2D"/>
    <w:rsid w:val="04A34AD5"/>
    <w:rsid w:val="05446338"/>
    <w:rsid w:val="06205AB9"/>
    <w:rsid w:val="0645761A"/>
    <w:rsid w:val="092B3B21"/>
    <w:rsid w:val="096F4D40"/>
    <w:rsid w:val="09E815E9"/>
    <w:rsid w:val="0A1C0F6F"/>
    <w:rsid w:val="0A4B6C67"/>
    <w:rsid w:val="0A584FB1"/>
    <w:rsid w:val="0C2B5275"/>
    <w:rsid w:val="0C4F004C"/>
    <w:rsid w:val="0E545525"/>
    <w:rsid w:val="0E9A260D"/>
    <w:rsid w:val="101802BD"/>
    <w:rsid w:val="107E5197"/>
    <w:rsid w:val="10DF1967"/>
    <w:rsid w:val="111E1BB4"/>
    <w:rsid w:val="13DF0AFF"/>
    <w:rsid w:val="14306816"/>
    <w:rsid w:val="1470053A"/>
    <w:rsid w:val="14CA37C5"/>
    <w:rsid w:val="15852B39"/>
    <w:rsid w:val="15F76A45"/>
    <w:rsid w:val="160171C7"/>
    <w:rsid w:val="16C27C0F"/>
    <w:rsid w:val="1794761C"/>
    <w:rsid w:val="179E1E2F"/>
    <w:rsid w:val="18325E17"/>
    <w:rsid w:val="191A2277"/>
    <w:rsid w:val="1AE4369A"/>
    <w:rsid w:val="1C6629DC"/>
    <w:rsid w:val="1C860A45"/>
    <w:rsid w:val="1DD940B0"/>
    <w:rsid w:val="1E421D2E"/>
    <w:rsid w:val="1E6A2CE9"/>
    <w:rsid w:val="1ED65BAF"/>
    <w:rsid w:val="1F6D6E11"/>
    <w:rsid w:val="1F965E7C"/>
    <w:rsid w:val="200453A2"/>
    <w:rsid w:val="20F5069F"/>
    <w:rsid w:val="214B6650"/>
    <w:rsid w:val="22A42CCE"/>
    <w:rsid w:val="2374764F"/>
    <w:rsid w:val="23FF5F95"/>
    <w:rsid w:val="24387EEC"/>
    <w:rsid w:val="24555FBE"/>
    <w:rsid w:val="24C31F01"/>
    <w:rsid w:val="255C19A0"/>
    <w:rsid w:val="27672936"/>
    <w:rsid w:val="2877758C"/>
    <w:rsid w:val="2943376E"/>
    <w:rsid w:val="29A43C9B"/>
    <w:rsid w:val="29F70102"/>
    <w:rsid w:val="2A700917"/>
    <w:rsid w:val="2B314468"/>
    <w:rsid w:val="2C5A3E0F"/>
    <w:rsid w:val="2D8F1412"/>
    <w:rsid w:val="2F2F2D24"/>
    <w:rsid w:val="2F43336A"/>
    <w:rsid w:val="30EF3106"/>
    <w:rsid w:val="35396F55"/>
    <w:rsid w:val="36225F7A"/>
    <w:rsid w:val="37663028"/>
    <w:rsid w:val="37D14914"/>
    <w:rsid w:val="3BCD1A77"/>
    <w:rsid w:val="3CAA12F8"/>
    <w:rsid w:val="3F9B72BC"/>
    <w:rsid w:val="400125B0"/>
    <w:rsid w:val="40096386"/>
    <w:rsid w:val="402E75BC"/>
    <w:rsid w:val="41305DE3"/>
    <w:rsid w:val="42EA69F5"/>
    <w:rsid w:val="43545300"/>
    <w:rsid w:val="458B0024"/>
    <w:rsid w:val="4593501E"/>
    <w:rsid w:val="46810F0B"/>
    <w:rsid w:val="469F4005"/>
    <w:rsid w:val="46F07758"/>
    <w:rsid w:val="4764387A"/>
    <w:rsid w:val="48D1273A"/>
    <w:rsid w:val="49EF1EAF"/>
    <w:rsid w:val="4A846EF7"/>
    <w:rsid w:val="4B096152"/>
    <w:rsid w:val="4B161E76"/>
    <w:rsid w:val="4BF52AE6"/>
    <w:rsid w:val="4C164A8F"/>
    <w:rsid w:val="4C420E44"/>
    <w:rsid w:val="4D217C70"/>
    <w:rsid w:val="4DA47C16"/>
    <w:rsid w:val="4E1D3C0D"/>
    <w:rsid w:val="4EF4592A"/>
    <w:rsid w:val="4F421B14"/>
    <w:rsid w:val="4F5C6FCF"/>
    <w:rsid w:val="4FC63318"/>
    <w:rsid w:val="51E15585"/>
    <w:rsid w:val="536F1BBE"/>
    <w:rsid w:val="53754B5B"/>
    <w:rsid w:val="54D668E7"/>
    <w:rsid w:val="55AC082B"/>
    <w:rsid w:val="579956EE"/>
    <w:rsid w:val="588378EC"/>
    <w:rsid w:val="5BB700D9"/>
    <w:rsid w:val="5C0758D6"/>
    <w:rsid w:val="5C6A02A0"/>
    <w:rsid w:val="5E82080F"/>
    <w:rsid w:val="5EFC6369"/>
    <w:rsid w:val="5F652D85"/>
    <w:rsid w:val="601A0C87"/>
    <w:rsid w:val="601B7ED4"/>
    <w:rsid w:val="608367B0"/>
    <w:rsid w:val="61155ECE"/>
    <w:rsid w:val="619642BC"/>
    <w:rsid w:val="63544F1A"/>
    <w:rsid w:val="63CE2F60"/>
    <w:rsid w:val="643A4709"/>
    <w:rsid w:val="64BF2FFE"/>
    <w:rsid w:val="657839A2"/>
    <w:rsid w:val="660A4A67"/>
    <w:rsid w:val="67D52282"/>
    <w:rsid w:val="68846F0C"/>
    <w:rsid w:val="68934D26"/>
    <w:rsid w:val="695F0EFD"/>
    <w:rsid w:val="6B44027A"/>
    <w:rsid w:val="6D5C622C"/>
    <w:rsid w:val="6D657AFC"/>
    <w:rsid w:val="708935C1"/>
    <w:rsid w:val="70DE0B7D"/>
    <w:rsid w:val="71101199"/>
    <w:rsid w:val="73F22856"/>
    <w:rsid w:val="74592170"/>
    <w:rsid w:val="749342B0"/>
    <w:rsid w:val="74AE12AD"/>
    <w:rsid w:val="74D15717"/>
    <w:rsid w:val="75E73AE1"/>
    <w:rsid w:val="75F91B81"/>
    <w:rsid w:val="76182FC0"/>
    <w:rsid w:val="767A334D"/>
    <w:rsid w:val="76975A1D"/>
    <w:rsid w:val="76F22DAD"/>
    <w:rsid w:val="76F254F7"/>
    <w:rsid w:val="78065071"/>
    <w:rsid w:val="78273216"/>
    <w:rsid w:val="78AB0790"/>
    <w:rsid w:val="78C261D2"/>
    <w:rsid w:val="78FD0193"/>
    <w:rsid w:val="79B95296"/>
    <w:rsid w:val="7A6A54FA"/>
    <w:rsid w:val="7B252F87"/>
    <w:rsid w:val="7B5F235B"/>
    <w:rsid w:val="7B626423"/>
    <w:rsid w:val="7B802935"/>
    <w:rsid w:val="7BCA2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CellMar>
        <w:top w:w="0" w:type="dxa"/>
        <w:left w:w="108" w:type="dxa"/>
        <w:bottom w:w="0" w:type="dxa"/>
        <w:right w:w="108" w:type="dxa"/>
      </w:tblCellMar>
    </w:tblPr>
  </w:style>
  <w:style w:type="paragraph" w:styleId="3">
    <w:name w:val="Body Text Indent"/>
    <w:basedOn w:val="1"/>
    <w:qFormat/>
    <w:uiPriority w:val="0"/>
    <w:pPr>
      <w:spacing w:after="120"/>
      <w:ind w:left="420" w:leftChars="200"/>
    </w:pPr>
  </w:style>
  <w:style w:type="paragraph" w:styleId="4">
    <w:name w:val="Plain Text"/>
    <w:basedOn w:val="1"/>
    <w:qFormat/>
    <w:uiPriority w:val="0"/>
    <w:rPr>
      <w:rFonts w:ascii="宋体" w:hAnsi="Courier New" w:cs="Courier New"/>
      <w:szCs w:val="21"/>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3"/>
    <w:qFormat/>
    <w:uiPriority w:val="0"/>
    <w:pPr>
      <w:widowControl w:val="0"/>
      <w:adjustRightInd/>
      <w:snapToGrid/>
      <w:ind w:firstLine="420" w:firstLineChars="200"/>
      <w:jc w:val="both"/>
    </w:pPr>
    <w:rPr>
      <w:rFonts w:ascii="仿宋_GB2312" w:hAnsi="Calibri" w:eastAsia="仿宋_GB2312"/>
      <w:color w:val="000000"/>
      <w:sz w:val="32"/>
      <w:u w:val="none" w:color="000000"/>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Hyperlink"/>
    <w:basedOn w:val="10"/>
    <w:qFormat/>
    <w:uiPriority w:val="0"/>
    <w:rPr>
      <w:color w:val="0000FF"/>
      <w:u w:val="single"/>
    </w:rPr>
  </w:style>
  <w:style w:type="paragraph" w:styleId="12">
    <w:name w:val="No Spacing"/>
    <w:qFormat/>
    <w:uiPriority w:val="1"/>
    <w:pPr>
      <w:adjustRightInd w:val="0"/>
      <w:snapToGrid w:val="0"/>
    </w:pPr>
    <w:rPr>
      <w:rFonts w:ascii="Tahoma" w:hAnsi="Tahoma" w:eastAsia="微软雅黑" w:cstheme="minorBidi"/>
      <w:sz w:val="22"/>
      <w:szCs w:val="22"/>
      <w:lang w:val="en-US" w:eastAsia="zh-CN" w:bidi="ar-SA"/>
    </w:rPr>
  </w:style>
  <w:style w:type="character" w:customStyle="1" w:styleId="13">
    <w:name w:val="font91"/>
    <w:basedOn w:val="10"/>
    <w:qFormat/>
    <w:uiPriority w:val="0"/>
    <w:rPr>
      <w:rFonts w:ascii="仿宋_GB2312" w:eastAsia="仿宋_GB2312" w:cs="仿宋_GB2312"/>
      <w:color w:val="000000"/>
      <w:sz w:val="32"/>
      <w:szCs w:val="32"/>
      <w:u w:val="none"/>
    </w:rPr>
  </w:style>
  <w:style w:type="character" w:customStyle="1" w:styleId="14">
    <w:name w:val="font41"/>
    <w:basedOn w:val="10"/>
    <w:qFormat/>
    <w:uiPriority w:val="0"/>
    <w:rPr>
      <w:rFonts w:hint="eastAsia" w:ascii="仿宋_GB2312" w:eastAsia="仿宋_GB2312" w:cs="仿宋_GB2312"/>
      <w:color w:val="000000"/>
      <w:sz w:val="32"/>
      <w:szCs w:val="32"/>
      <w:u w:val="single"/>
    </w:rPr>
  </w:style>
  <w:style w:type="character" w:customStyle="1" w:styleId="15">
    <w:name w:val="font51"/>
    <w:basedOn w:val="10"/>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13</Pages>
  <Words>5634</Words>
  <Characters>5783</Characters>
  <Lines>7</Lines>
  <Paragraphs>2</Paragraphs>
  <TotalTime>3</TotalTime>
  <ScaleCrop>false</ScaleCrop>
  <LinksUpToDate>false</LinksUpToDate>
  <CharactersWithSpaces>6147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2019-01-11T01:43:00Z</dcterms:created>
  <dc:creator>王靖云</dc:creator>
  <cp:lastModifiedBy>请叫我提百万^_^</cp:lastModifiedBy>
  <cp:lastPrinted>2021-03-11T04:14:00Z</cp:lastPrinted>
  <dcterms:modified xsi:type="dcterms:W3CDTF">2026-06-29T07:57:27Z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eyJoZGlkIjoiNDVmNGRkZTI4ZTc3Yjk1ZDUxNzlmOTVjMjVmODI1YTIiLCJ1c2VySWQiOiIxMTMyOTE4NzQ0In0=</vt:lpwstr>
  </property>
  <property fmtid="{D5CDD505-2E9C-101B-9397-08002B2CF9AE}" pid="4" name="ICV">
    <vt:lpwstr>6B2E4E628C3F420B96B4EA485BCDF72C_12</vt:lpwstr>
  </property>
</Properties>
</file>